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rFonts w:cs="Times New Roman"/>
          <w:b/>
          <w:szCs w:val="24"/>
        </w:rPr>
      </w:pPr>
    </w:p>
    <w:p>
      <w:pPr>
        <w:pStyle w:val="style0"/>
        <w:rPr>
          <w:rFonts w:cs="Times New Roman"/>
          <w:b/>
          <w:szCs w:val="24"/>
        </w:rPr>
      </w:pPr>
    </w:p>
    <w:p>
      <w:pPr>
        <w:pStyle w:val="style0"/>
        <w:rPr>
          <w:rFonts w:cs="Times New Roman"/>
          <w:b/>
          <w:szCs w:val="24"/>
        </w:rPr>
      </w:pPr>
    </w:p>
    <w:p>
      <w:pPr>
        <w:pStyle w:val="style0"/>
        <w:rPr>
          <w:rFonts w:cs="Times New Roman"/>
          <w:b/>
          <w:szCs w:val="24"/>
        </w:rPr>
      </w:pPr>
    </w:p>
    <w:p>
      <w:pPr>
        <w:pStyle w:val="style0"/>
        <w:rPr>
          <w:rFonts w:cs="Times New Roman"/>
          <w:b/>
          <w:szCs w:val="24"/>
        </w:rPr>
      </w:pPr>
    </w:p>
    <w:p>
      <w:pPr>
        <w:pStyle w:val="style0"/>
        <w:spacing w:lineRule="auto" w:line="480"/>
        <w:jc w:val="center"/>
        <w:rPr>
          <w:rFonts w:cs="Times New Roman"/>
          <w:b/>
          <w:szCs w:val="24"/>
        </w:rPr>
      </w:pPr>
      <w:r>
        <w:rPr>
          <w:rFonts w:cs="Times New Roman"/>
          <w:b/>
          <w:szCs w:val="24"/>
        </w:rPr>
        <w:tab/>
      </w:r>
      <w:r>
        <w:rPr>
          <w:rFonts w:cs="Times New Roman"/>
          <w:b/>
          <w:szCs w:val="24"/>
        </w:rPr>
        <w:t xml:space="preserve">Target </w:t>
      </w:r>
      <w:r>
        <w:rPr>
          <w:rFonts w:cs="Times New Roman"/>
          <w:b/>
          <w:szCs w:val="24"/>
        </w:rPr>
        <w:t>Corporation</w:t>
      </w:r>
      <w:r>
        <w:rPr>
          <w:rFonts w:cs="Times New Roman"/>
          <w:b/>
          <w:szCs w:val="24"/>
        </w:rPr>
        <w:t xml:space="preserve"> Financial Analysis</w:t>
      </w:r>
    </w:p>
    <w:p>
      <w:pPr>
        <w:pStyle w:val="style0"/>
        <w:spacing w:lineRule="auto" w:line="480"/>
        <w:jc w:val="center"/>
        <w:rPr>
          <w:rFonts w:cs="Times New Roman"/>
          <w:b/>
          <w:szCs w:val="24"/>
        </w:rPr>
      </w:pPr>
    </w:p>
    <w:p>
      <w:pPr>
        <w:pStyle w:val="style0"/>
        <w:spacing w:lineRule="auto" w:line="480"/>
        <w:jc w:val="center"/>
        <w:rPr>
          <w:rFonts w:cs="Times New Roman"/>
          <w:b/>
          <w:szCs w:val="24"/>
        </w:rPr>
      </w:pPr>
    </w:p>
    <w:p>
      <w:pPr>
        <w:pStyle w:val="style0"/>
        <w:spacing w:lineRule="auto" w:line="480"/>
        <w:jc w:val="center"/>
        <w:rPr>
          <w:rFonts w:cs="Times New Roman"/>
          <w:b/>
          <w:szCs w:val="24"/>
        </w:rPr>
      </w:pPr>
    </w:p>
    <w:p>
      <w:pPr>
        <w:pStyle w:val="style0"/>
        <w:spacing w:lineRule="auto" w:line="480"/>
        <w:jc w:val="center"/>
        <w:rPr>
          <w:rFonts w:cs="Times New Roman"/>
          <w:b/>
          <w:szCs w:val="24"/>
        </w:rPr>
      </w:pPr>
    </w:p>
    <w:p>
      <w:pPr>
        <w:pStyle w:val="style0"/>
        <w:spacing w:lineRule="auto" w:line="480"/>
        <w:jc w:val="center"/>
        <w:rPr>
          <w:rFonts w:cs="Times New Roman"/>
          <w:szCs w:val="24"/>
        </w:rPr>
      </w:pPr>
      <w:r>
        <w:rPr>
          <w:rFonts w:cs="Times New Roman"/>
          <w:szCs w:val="24"/>
        </w:rPr>
        <w:t>Student's Name</w:t>
      </w:r>
    </w:p>
    <w:p>
      <w:pPr>
        <w:pStyle w:val="style0"/>
        <w:spacing w:lineRule="auto" w:line="480"/>
        <w:jc w:val="center"/>
        <w:rPr>
          <w:rFonts w:cs="Times New Roman"/>
          <w:szCs w:val="24"/>
        </w:rPr>
      </w:pPr>
      <w:r>
        <w:rPr>
          <w:rFonts w:cs="Times New Roman"/>
          <w:szCs w:val="24"/>
        </w:rPr>
        <w:t>Institution Affiliation</w:t>
      </w:r>
    </w:p>
    <w:p>
      <w:pPr>
        <w:pStyle w:val="style0"/>
        <w:spacing w:lineRule="auto" w:line="480"/>
        <w:jc w:val="center"/>
        <w:rPr>
          <w:rFonts w:cs="Times New Roman"/>
          <w:szCs w:val="24"/>
        </w:rPr>
      </w:pPr>
      <w:r>
        <w:rPr>
          <w:rFonts w:cs="Times New Roman"/>
          <w:szCs w:val="24"/>
        </w:rPr>
        <w:t>Course Number and Name</w:t>
      </w:r>
    </w:p>
    <w:p>
      <w:pPr>
        <w:pStyle w:val="style0"/>
        <w:spacing w:lineRule="auto" w:line="480"/>
        <w:jc w:val="center"/>
        <w:rPr>
          <w:rFonts w:cs="Times New Roman"/>
          <w:szCs w:val="24"/>
        </w:rPr>
      </w:pPr>
      <w:r>
        <w:rPr>
          <w:rFonts w:cs="Times New Roman"/>
          <w:szCs w:val="24"/>
        </w:rPr>
        <w:t>Instructor</w:t>
      </w:r>
    </w:p>
    <w:p>
      <w:pPr>
        <w:pStyle w:val="style0"/>
        <w:spacing w:lineRule="auto" w:line="480"/>
        <w:jc w:val="center"/>
        <w:rPr>
          <w:rFonts w:cs="Times New Roman"/>
          <w:szCs w:val="24"/>
        </w:rPr>
      </w:pPr>
      <w:r>
        <w:rPr>
          <w:rFonts w:cs="Times New Roman"/>
          <w:szCs w:val="24"/>
        </w:rPr>
        <w:t>Date</w:t>
      </w:r>
    </w:p>
    <w:p>
      <w:pPr>
        <w:pStyle w:val="style0"/>
        <w:spacing w:lineRule="auto" w:line="480"/>
        <w:jc w:val="center"/>
        <w:rPr>
          <w:rFonts w:cs="Times New Roman"/>
          <w:b/>
          <w:szCs w:val="24"/>
        </w:rPr>
      </w:pPr>
    </w:p>
    <w:p>
      <w:pPr>
        <w:pStyle w:val="style0"/>
        <w:spacing w:lineRule="auto" w:line="480"/>
        <w:rPr>
          <w:rFonts w:cs="Times New Roman"/>
          <w:b/>
          <w:szCs w:val="24"/>
        </w:rPr>
      </w:pPr>
    </w:p>
    <w:p>
      <w:pPr>
        <w:pStyle w:val="style0"/>
        <w:rPr>
          <w:rFonts w:cs="Times New Roman"/>
          <w:b/>
          <w:szCs w:val="24"/>
        </w:rPr>
      </w:pPr>
    </w:p>
    <w:p>
      <w:pPr>
        <w:pStyle w:val="style0"/>
        <w:spacing w:lineRule="auto" w:line="480"/>
        <w:jc w:val="center"/>
        <w:rPr>
          <w:rFonts w:cs="Times New Roman"/>
          <w:b/>
          <w:szCs w:val="24"/>
        </w:rPr>
      </w:pPr>
    </w:p>
    <w:p>
      <w:pPr>
        <w:pStyle w:val="style0"/>
        <w:spacing w:lineRule="auto" w:line="480"/>
        <w:jc w:val="center"/>
        <w:rPr>
          <w:rFonts w:cs="Times New Roman"/>
          <w:b/>
          <w:szCs w:val="24"/>
        </w:rPr>
      </w:pPr>
    </w:p>
    <w:p>
      <w:pPr>
        <w:pStyle w:val="style0"/>
        <w:spacing w:lineRule="auto" w:line="480"/>
        <w:jc w:val="center"/>
        <w:rPr>
          <w:rFonts w:cs="Times New Roman"/>
          <w:b/>
          <w:szCs w:val="24"/>
        </w:rPr>
      </w:pPr>
      <w:r>
        <w:rPr>
          <w:rFonts w:cs="Times New Roman"/>
          <w:b/>
          <w:szCs w:val="24"/>
        </w:rPr>
        <w:t xml:space="preserve">Target </w:t>
      </w:r>
      <w:r>
        <w:rPr>
          <w:rFonts w:cs="Times New Roman"/>
          <w:b/>
          <w:szCs w:val="24"/>
        </w:rPr>
        <w:t>Corporation</w:t>
      </w:r>
      <w:r>
        <w:rPr>
          <w:rFonts w:cs="Times New Roman"/>
          <w:b/>
          <w:szCs w:val="24"/>
        </w:rPr>
        <w:t xml:space="preserve"> </w:t>
      </w:r>
      <w:r>
        <w:rPr>
          <w:rFonts w:cs="Times New Roman"/>
          <w:b/>
          <w:szCs w:val="24"/>
        </w:rPr>
        <w:t>Financial Analysis</w:t>
      </w:r>
    </w:p>
    <w:p>
      <w:pPr>
        <w:pStyle w:val="style0"/>
        <w:spacing w:lineRule="auto" w:line="480"/>
        <w:ind w:firstLine="720"/>
        <w:rPr>
          <w:rFonts w:cs="Times New Roman"/>
          <w:szCs w:val="24"/>
        </w:rPr>
      </w:pPr>
      <w:r>
        <w:rPr>
          <w:rFonts w:cs="Times New Roman"/>
          <w:szCs w:val="24"/>
        </w:rPr>
        <w:t>Target Corporation is known as the 8</w:t>
      </w:r>
      <w:r>
        <w:rPr>
          <w:rFonts w:cs="Times New Roman"/>
          <w:szCs w:val="24"/>
          <w:vertAlign w:val="superscript"/>
        </w:rPr>
        <w:t>th</w:t>
      </w:r>
      <w:r>
        <w:rPr>
          <w:rFonts w:cs="Times New Roman"/>
          <w:szCs w:val="24"/>
        </w:rPr>
        <w:t xml:space="preserve"> largest retail shop in the USA. The company is located in </w:t>
      </w:r>
      <w:r>
        <w:rPr>
          <w:rFonts w:cs="Times New Roman"/>
          <w:szCs w:val="24"/>
        </w:rPr>
        <w:t>Minneapolis</w:t>
      </w:r>
      <w:r>
        <w:rPr>
          <w:rFonts w:cs="Times New Roman"/>
          <w:szCs w:val="24"/>
        </w:rPr>
        <w:t>. Currently, Target operates 1844 stores within the urba</w:t>
      </w:r>
      <w:r>
        <w:rPr>
          <w:rFonts w:cs="Times New Roman"/>
          <w:szCs w:val="24"/>
        </w:rPr>
        <w:t xml:space="preserve">n markets of the united states. </w:t>
      </w:r>
      <w:r>
        <w:rPr>
          <w:rFonts w:cs="Times New Roman"/>
          <w:szCs w:val="24"/>
        </w:rPr>
        <w:t>The company is ranked</w:t>
      </w:r>
      <w:r>
        <w:rPr>
          <w:rFonts w:cs="Times New Roman"/>
          <w:szCs w:val="24"/>
        </w:rPr>
        <w:t xml:space="preserve"> 37</w:t>
      </w:r>
      <w:r>
        <w:rPr>
          <w:rFonts w:cs="Times New Roman"/>
          <w:szCs w:val="24"/>
          <w:vertAlign w:val="superscript"/>
        </w:rPr>
        <w:t>th</w:t>
      </w:r>
      <w:r>
        <w:rPr>
          <w:rFonts w:cs="Times New Roman"/>
          <w:szCs w:val="24"/>
        </w:rPr>
        <w:t xml:space="preserve"> </w:t>
      </w:r>
      <w:r>
        <w:rPr>
          <w:rFonts w:cs="Times New Roman"/>
          <w:szCs w:val="24"/>
        </w:rPr>
        <w:t>on the 2020 fortune 500 list of the largest united states</w:t>
      </w:r>
      <w:r>
        <w:rPr>
          <w:rFonts w:cs="Times New Roman"/>
          <w:szCs w:val="24"/>
        </w:rPr>
        <w:t xml:space="preserve"> corporations by their revenue estimation.</w:t>
      </w:r>
      <w:r>
        <w:rPr>
          <w:rFonts w:cs="Times New Roman"/>
          <w:szCs w:val="24"/>
        </w:rPr>
        <w:t xml:space="preserve"> The company uses retailed formats like discount store ta</w:t>
      </w:r>
      <w:r>
        <w:rPr>
          <w:rFonts w:cs="Times New Roman"/>
          <w:szCs w:val="24"/>
        </w:rPr>
        <w:t>r</w:t>
      </w:r>
      <w:r>
        <w:rPr>
          <w:rFonts w:cs="Times New Roman"/>
          <w:szCs w:val="24"/>
        </w:rPr>
        <w:t>get, hypermarket super target, an</w:t>
      </w:r>
      <w:r>
        <w:rPr>
          <w:rFonts w:cs="Times New Roman"/>
          <w:szCs w:val="24"/>
        </w:rPr>
        <w:t>d small-format stores</w:t>
      </w:r>
      <w:r>
        <w:rPr>
          <w:rFonts w:cs="Times New Roman"/>
          <w:szCs w:val="24"/>
        </w:rPr>
        <w:t xml:space="preserve">, known as city target and target Express </w:t>
      </w:r>
      <w:r>
        <w:rPr>
          <w:rFonts w:cs="Times New Roman"/>
          <w:szCs w:val="24"/>
        </w:rPr>
        <w:t xml:space="preserve">and later </w:t>
      </w:r>
      <w:r>
        <w:rPr>
          <w:rFonts w:cs="Times New Roman"/>
          <w:szCs w:val="24"/>
        </w:rPr>
        <w:t>consolidated</w:t>
      </w:r>
      <w:r>
        <w:rPr>
          <w:rFonts w:cs="Times New Roman"/>
          <w:szCs w:val="24"/>
        </w:rPr>
        <w:t xml:space="preserve"> to form </w:t>
      </w:r>
      <w:r>
        <w:rPr>
          <w:rFonts w:cs="Times New Roman"/>
          <w:szCs w:val="24"/>
        </w:rPr>
        <w:t>target branding</w:t>
      </w:r>
      <w:r>
        <w:rPr>
          <w:rFonts w:cs="Times New Roman"/>
          <w:szCs w:val="24"/>
        </w:rPr>
        <w:t xml:space="preserve"> </w:t>
      </w:r>
      <w:r>
        <w:rPr>
          <w:rFonts w:cs="Times New Roman"/>
          <w:szCs w:val="24"/>
        </w:rPr>
        <w:t>(Wilson,</w:t>
      </w:r>
      <w:r>
        <w:rPr>
          <w:rFonts w:cs="Times New Roman"/>
          <w:szCs w:val="24"/>
        </w:rPr>
        <w:t xml:space="preserve"> </w:t>
      </w:r>
      <w:r>
        <w:rPr>
          <w:rFonts w:cs="Times New Roman"/>
          <w:szCs w:val="24"/>
        </w:rPr>
        <w:t>2017).</w:t>
      </w:r>
      <w:r>
        <w:rPr>
          <w:rFonts w:cs="Times New Roman"/>
          <w:szCs w:val="24"/>
        </w:rPr>
        <w:t xml:space="preserve"> Target brand is the company's management division that oversees the company's private product labels. </w:t>
      </w:r>
    </w:p>
    <w:p>
      <w:pPr>
        <w:pStyle w:val="style0"/>
        <w:spacing w:lineRule="auto" w:line="480"/>
        <w:ind w:firstLine="720"/>
        <w:rPr>
          <w:rFonts w:cs="Times New Roman"/>
          <w:szCs w:val="24"/>
        </w:rPr>
      </w:pPr>
      <w:r>
        <w:rPr>
          <w:rFonts w:cs="Times New Roman"/>
          <w:szCs w:val="24"/>
        </w:rPr>
        <w:t xml:space="preserve">The private products labels include </w:t>
      </w:r>
      <w:r>
        <w:rPr>
          <w:rFonts w:cs="Times New Roman"/>
          <w:szCs w:val="24"/>
        </w:rPr>
        <w:t>good and gather helping in the food and beverages. A</w:t>
      </w:r>
      <w:r>
        <w:rPr>
          <w:rFonts w:cs="Times New Roman"/>
          <w:szCs w:val="24"/>
        </w:rPr>
        <w:t>r</w:t>
      </w:r>
      <w:r>
        <w:rPr>
          <w:rFonts w:cs="Times New Roman"/>
          <w:szCs w:val="24"/>
        </w:rPr>
        <w:t xml:space="preserve">cher farms that deal with grocery products. Market Pantry values grocery </w:t>
      </w:r>
      <w:r>
        <w:rPr>
          <w:rFonts w:cs="Times New Roman"/>
          <w:szCs w:val="24"/>
        </w:rPr>
        <w:t xml:space="preserve">products. </w:t>
      </w:r>
      <w:r>
        <w:rPr>
          <w:rFonts w:cs="Times New Roman"/>
          <w:szCs w:val="24"/>
        </w:rPr>
        <w:t xml:space="preserve">Balanced, deals with organic grocery </w:t>
      </w:r>
      <w:r>
        <w:rPr>
          <w:rFonts w:cs="Times New Roman"/>
          <w:szCs w:val="24"/>
        </w:rPr>
        <w:t>products. Sutton</w:t>
      </w:r>
      <w:r>
        <w:rPr>
          <w:rFonts w:cs="Times New Roman"/>
          <w:szCs w:val="24"/>
        </w:rPr>
        <w:t xml:space="preserve"> and </w:t>
      </w:r>
      <w:r>
        <w:rPr>
          <w:rFonts w:cs="Times New Roman"/>
          <w:szCs w:val="24"/>
        </w:rPr>
        <w:t>Dodge, a</w:t>
      </w:r>
      <w:r>
        <w:rPr>
          <w:rFonts w:cs="Times New Roman"/>
          <w:szCs w:val="24"/>
        </w:rPr>
        <w:t xml:space="preserve"> premium meat </w:t>
      </w:r>
      <w:r>
        <w:rPr>
          <w:rFonts w:cs="Times New Roman"/>
          <w:szCs w:val="24"/>
        </w:rPr>
        <w:t>line. Boots</w:t>
      </w:r>
      <w:r>
        <w:rPr>
          <w:rFonts w:cs="Times New Roman"/>
          <w:szCs w:val="24"/>
        </w:rPr>
        <w:t xml:space="preserve"> and Barkley, pet food, and suppl</w:t>
      </w:r>
      <w:r>
        <w:rPr>
          <w:rFonts w:cs="Times New Roman"/>
          <w:szCs w:val="24"/>
        </w:rPr>
        <w:t>ies. Embark</w:t>
      </w:r>
      <w:r>
        <w:rPr>
          <w:rFonts w:cs="Times New Roman"/>
          <w:szCs w:val="24"/>
        </w:rPr>
        <w:t>, an outdoor gear line</w:t>
      </w:r>
      <w:r>
        <w:rPr>
          <w:rFonts w:cs="Times New Roman"/>
          <w:szCs w:val="24"/>
        </w:rPr>
        <w:t xml:space="preserve"> </w:t>
      </w:r>
      <w:r>
        <w:rPr>
          <w:rFonts w:cs="Times New Roman"/>
          <w:szCs w:val="24"/>
        </w:rPr>
        <w:t xml:space="preserve">of camping and travel </w:t>
      </w:r>
      <w:r>
        <w:rPr>
          <w:rFonts w:cs="Times New Roman"/>
          <w:szCs w:val="24"/>
        </w:rPr>
        <w:t>equipm</w:t>
      </w:r>
      <w:r>
        <w:rPr>
          <w:rFonts w:cs="Times New Roman"/>
          <w:szCs w:val="24"/>
        </w:rPr>
        <w:t>ent. Room</w:t>
      </w:r>
      <w:r>
        <w:rPr>
          <w:rFonts w:cs="Times New Roman"/>
          <w:szCs w:val="24"/>
        </w:rPr>
        <w:t xml:space="preserve"> essentials</w:t>
      </w:r>
      <w:r>
        <w:rPr>
          <w:rFonts w:cs="Times New Roman"/>
          <w:szCs w:val="24"/>
        </w:rPr>
        <w:t>, a low-end home goods line. Threshold, a premium furniture line. Fieldcrest, bedding, and bath line in partnership with brand owner iconic</w:t>
      </w:r>
      <w:r>
        <w:rPr>
          <w:rFonts w:cs="Times New Roman"/>
          <w:szCs w:val="24"/>
        </w:rPr>
        <w:t xml:space="preserve"> brand group and </w:t>
      </w:r>
      <w:r>
        <w:rPr>
          <w:rFonts w:cs="Times New Roman"/>
          <w:szCs w:val="24"/>
        </w:rPr>
        <w:t>UP&amp;</w:t>
      </w:r>
      <w:r>
        <w:rPr>
          <w:rFonts w:cs="Times New Roman"/>
          <w:szCs w:val="24"/>
        </w:rPr>
        <w:t>UP which i</w:t>
      </w:r>
      <w:r>
        <w:rPr>
          <w:rFonts w:cs="Times New Roman"/>
          <w:szCs w:val="24"/>
        </w:rPr>
        <w:t>ncludes an expanded product line selection at a new design that off</w:t>
      </w:r>
      <w:r>
        <w:rPr>
          <w:rFonts w:cs="Times New Roman"/>
          <w:szCs w:val="24"/>
        </w:rPr>
        <w:t>ers essential commodities including households, health care, baby, and</w:t>
      </w:r>
      <w:r>
        <w:rPr>
          <w:rFonts w:cs="Times New Roman"/>
          <w:szCs w:val="24"/>
        </w:rPr>
        <w:t xml:space="preserve"> personal care products.</w:t>
      </w:r>
      <w:r>
        <w:rPr>
          <w:rFonts w:cs="Times New Roman"/>
          <w:szCs w:val="24"/>
        </w:rPr>
        <w:t xml:space="preserve"> </w:t>
      </w:r>
      <w:r>
        <w:rPr>
          <w:rFonts w:cs="Times New Roman"/>
          <w:szCs w:val="24"/>
        </w:rPr>
        <w:t xml:space="preserve">According to Andreoli </w:t>
      </w:r>
      <w:r>
        <w:rPr>
          <w:rFonts w:cs="Times New Roman"/>
          <w:szCs w:val="24"/>
        </w:rPr>
        <w:t>2018</w:t>
      </w:r>
      <w:r>
        <w:rPr>
          <w:rFonts w:cs="Times New Roman"/>
          <w:szCs w:val="24"/>
        </w:rPr>
        <w:t>, t</w:t>
      </w:r>
      <w:r>
        <w:rPr>
          <w:rFonts w:cs="Times New Roman"/>
          <w:szCs w:val="24"/>
        </w:rPr>
        <w:t>he retail market is one of the USA's most competitive markets with Walmart and Costco, one of the leading retail shops in the market.</w:t>
      </w:r>
    </w:p>
    <w:p>
      <w:pPr>
        <w:pStyle w:val="style0"/>
        <w:spacing w:lineRule="auto" w:line="480"/>
        <w:rPr>
          <w:rFonts w:cs="Times New Roman"/>
          <w:b/>
          <w:szCs w:val="24"/>
        </w:rPr>
      </w:pPr>
    </w:p>
    <w:p>
      <w:pPr>
        <w:pStyle w:val="style0"/>
        <w:spacing w:lineRule="auto" w:line="480"/>
        <w:rPr>
          <w:rFonts w:cs="Times New Roman"/>
          <w:b/>
          <w:szCs w:val="24"/>
        </w:rPr>
      </w:pPr>
    </w:p>
    <w:p>
      <w:pPr>
        <w:pStyle w:val="style0"/>
        <w:spacing w:lineRule="auto" w:line="480"/>
        <w:rPr>
          <w:rFonts w:cs="Times New Roman"/>
          <w:b/>
          <w:szCs w:val="24"/>
        </w:rPr>
      </w:pPr>
    </w:p>
    <w:p>
      <w:pPr>
        <w:pStyle w:val="style0"/>
        <w:spacing w:lineRule="auto" w:line="480"/>
        <w:rPr>
          <w:rFonts w:cs="Times New Roman"/>
          <w:b/>
          <w:szCs w:val="24"/>
        </w:rPr>
      </w:pPr>
    </w:p>
    <w:p>
      <w:pPr>
        <w:pStyle w:val="style0"/>
        <w:spacing w:lineRule="auto" w:line="480"/>
        <w:rPr>
          <w:rFonts w:cs="Times New Roman"/>
          <w:b/>
          <w:szCs w:val="24"/>
        </w:rPr>
      </w:pPr>
      <w:r>
        <w:rPr>
          <w:rFonts w:cs="Times New Roman"/>
          <w:b/>
          <w:szCs w:val="24"/>
        </w:rPr>
        <w:t xml:space="preserve">Company's Strategy </w:t>
      </w:r>
    </w:p>
    <w:p>
      <w:pPr>
        <w:pStyle w:val="style0"/>
        <w:spacing w:after="0" w:lineRule="auto" w:line="480"/>
        <w:ind w:left="720" w:firstLine="720"/>
        <w:jc w:val="both"/>
        <w:rPr>
          <w:rFonts w:cs="Times New Roman"/>
          <w:b/>
          <w:szCs w:val="24"/>
        </w:rPr>
      </w:pPr>
      <w:r>
        <w:rPr>
          <w:rFonts w:cs="Times New Roman"/>
          <w:szCs w:val="24"/>
        </w:rPr>
        <w:t>Targ</w:t>
      </w:r>
      <w:r>
        <w:rPr>
          <w:rFonts w:cs="Times New Roman"/>
          <w:szCs w:val="24"/>
        </w:rPr>
        <w:t xml:space="preserve">et </w:t>
      </w:r>
      <w:r>
        <w:rPr>
          <w:rFonts w:cs="Times New Roman"/>
          <w:szCs w:val="24"/>
        </w:rPr>
        <w:t>Corporation</w:t>
      </w:r>
      <w:r>
        <w:rPr>
          <w:rFonts w:cs="Times New Roman"/>
          <w:szCs w:val="24"/>
        </w:rPr>
        <w:t xml:space="preserve"> is one of the most diversified</w:t>
      </w:r>
      <w:r>
        <w:rPr>
          <w:rFonts w:cs="Times New Roman"/>
          <w:szCs w:val="24"/>
        </w:rPr>
        <w:t xml:space="preserve"> compan</w:t>
      </w:r>
      <w:r>
        <w:rPr>
          <w:rFonts w:cs="Times New Roman"/>
          <w:szCs w:val="24"/>
        </w:rPr>
        <w:t xml:space="preserve">ies. A diversified </w:t>
      </w:r>
      <w:r>
        <w:rPr>
          <w:rFonts w:cs="Times New Roman"/>
          <w:szCs w:val="24"/>
        </w:rPr>
        <w:t>organization has many business units, and each business unit has its business-level strategy irrespective of whether they relate.</w:t>
      </w:r>
      <w:r>
        <w:rPr>
          <w:rFonts w:cs="Times New Roman"/>
          <w:szCs w:val="24"/>
        </w:rPr>
        <w:t xml:space="preserve"> According to</w:t>
      </w:r>
      <w:r>
        <w:rPr>
          <w:rFonts w:cs="Times New Roman"/>
          <w:b/>
          <w:szCs w:val="24"/>
        </w:rPr>
        <w:t xml:space="preserve"> </w:t>
      </w:r>
      <w:r>
        <w:rPr>
          <w:rFonts w:cs="Times New Roman"/>
          <w:szCs w:val="24"/>
        </w:rPr>
        <w:t>Alghalith 2018,</w:t>
      </w:r>
      <w:r>
        <w:rPr>
          <w:rFonts w:cs="Times New Roman"/>
          <w:szCs w:val="24"/>
        </w:rPr>
        <w:t xml:space="preserve"> </w:t>
      </w:r>
      <w:r>
        <w:rPr>
          <w:rFonts w:cs="Times New Roman"/>
          <w:szCs w:val="24"/>
        </w:rPr>
        <w:t>t</w:t>
      </w:r>
      <w:r>
        <w:rPr>
          <w:rFonts w:cs="Times New Roman"/>
          <w:szCs w:val="24"/>
        </w:rPr>
        <w:t>he diversification strategy is succes</w:t>
      </w:r>
      <w:r>
        <w:rPr>
          <w:rFonts w:cs="Times New Roman"/>
          <w:szCs w:val="24"/>
        </w:rPr>
        <w:t>s</w:t>
      </w:r>
      <w:r>
        <w:rPr>
          <w:rFonts w:cs="Times New Roman"/>
          <w:szCs w:val="24"/>
        </w:rPr>
        <w:t>ful when risks are spread across the various units while also adding economic value</w:t>
      </w:r>
      <w:r>
        <w:rPr>
          <w:rFonts w:cs="Times New Roman"/>
          <w:szCs w:val="24"/>
        </w:rPr>
        <w:t xml:space="preserve">. </w:t>
      </w:r>
      <w:r>
        <w:rPr>
          <w:rFonts w:cs="Times New Roman"/>
          <w:szCs w:val="24"/>
        </w:rPr>
        <w:t>Target Company has differentiated its business model from other retailers by creating its range of private labels. The company holds 41 brands, which acts as a significant revenue source and a mark of competitive advantage for the brand. Efficient management of the supply chain has also contributed to keeping the company's product price low.</w:t>
      </w:r>
      <w:r>
        <w:rPr>
          <w:rFonts w:cs="Times New Roman"/>
          <w:szCs w:val="24"/>
        </w:rPr>
        <w:t xml:space="preserve"> </w:t>
      </w:r>
      <w:r>
        <w:rPr>
          <w:rFonts w:cs="Times New Roman"/>
          <w:szCs w:val="24"/>
        </w:rPr>
        <w:t>The company has also dramatically employed the discounted price strategy and a focus on the customized brand to share customer experiences to retain its competitive position in the retail industr</w:t>
      </w:r>
      <w:r>
        <w:rPr>
          <w:rFonts w:cs="Times New Roman"/>
          <w:szCs w:val="24"/>
        </w:rPr>
        <w:t xml:space="preserve">y. Another method used by the company to drive customer loyalty, such as branded debit and credit cards collectively recognized </w:t>
      </w:r>
      <w:r>
        <w:rPr>
          <w:rFonts w:cs="Times New Roman"/>
          <w:szCs w:val="24"/>
        </w:rPr>
        <w:t xml:space="preserve">as Red cards, </w:t>
      </w:r>
      <w:r>
        <w:rPr>
          <w:rFonts w:cs="Times New Roman"/>
          <w:szCs w:val="24"/>
        </w:rPr>
        <w:t xml:space="preserve">gives free shipping and a saving discount of 5% on nearly all products sold at Target stores. Apart from deals on general merchandise, the company partners with </w:t>
      </w:r>
      <w:r>
        <w:rPr>
          <w:rFonts w:cs="Times New Roman"/>
          <w:szCs w:val="24"/>
        </w:rPr>
        <w:t>the designer</w:t>
      </w:r>
      <w:r>
        <w:rPr>
          <w:rFonts w:cs="Times New Roman"/>
          <w:szCs w:val="24"/>
        </w:rPr>
        <w:t xml:space="preserve">s </w:t>
      </w:r>
      <w:r>
        <w:rPr>
          <w:rFonts w:cs="Times New Roman"/>
          <w:szCs w:val="24"/>
        </w:rPr>
        <w:t xml:space="preserve">to launch an exclusive range for </w:t>
      </w:r>
      <w:r>
        <w:rPr>
          <w:rFonts w:cs="Times New Roman"/>
          <w:szCs w:val="24"/>
        </w:rPr>
        <w:t>Target Corporation's</w:t>
      </w:r>
      <w:r>
        <w:rPr>
          <w:rFonts w:cs="Times New Roman"/>
          <w:szCs w:val="24"/>
        </w:rPr>
        <w:t xml:space="preserve"> customers.</w:t>
      </w:r>
    </w:p>
    <w:p>
      <w:pPr>
        <w:pStyle w:val="style0"/>
        <w:spacing w:lineRule="auto" w:line="480"/>
        <w:ind w:firstLine="720"/>
        <w:rPr>
          <w:rFonts w:cs="Times New Roman"/>
          <w:szCs w:val="24"/>
        </w:rPr>
      </w:pPr>
      <w:r>
        <w:rPr>
          <w:rFonts w:cs="Times New Roman"/>
          <w:szCs w:val="24"/>
        </w:rPr>
        <w:t xml:space="preserve">Target </w:t>
      </w:r>
      <w:r>
        <w:rPr>
          <w:rFonts w:cs="Times New Roman"/>
          <w:szCs w:val="24"/>
        </w:rPr>
        <w:t>Corporation</w:t>
      </w:r>
      <w:r>
        <w:rPr>
          <w:rFonts w:cs="Times New Roman"/>
          <w:szCs w:val="24"/>
        </w:rPr>
        <w:t xml:space="preserve"> invests in digital promotions and media advertising to grow sales and revenues. For example, in 2019, it spent 1.65$ billion on advertising compared to 1.5$ billion in 2018. Also, the company focuses on the social image to maintain the loyalty of their </w:t>
      </w:r>
      <w:r>
        <w:rPr>
          <w:rFonts w:cs="Times New Roman"/>
          <w:szCs w:val="24"/>
        </w:rPr>
        <w:t xml:space="preserve">customers. </w:t>
      </w:r>
      <w:r>
        <w:rPr>
          <w:rFonts w:cs="Times New Roman"/>
          <w:szCs w:val="24"/>
        </w:rPr>
        <w:t xml:space="preserve">Therefore, </w:t>
      </w:r>
      <w:r>
        <w:rPr>
          <w:rFonts w:cs="Times New Roman"/>
          <w:szCs w:val="24"/>
        </w:rPr>
        <w:t>Target Corporation invest</w:t>
      </w:r>
      <w:r>
        <w:rPr>
          <w:rFonts w:cs="Times New Roman"/>
          <w:szCs w:val="24"/>
        </w:rPr>
        <w:t xml:space="preserve">s in CSR to maintain </w:t>
      </w:r>
      <w:r>
        <w:rPr>
          <w:rFonts w:cs="Times New Roman"/>
          <w:szCs w:val="24"/>
        </w:rPr>
        <w:t xml:space="preserve">a captivating social </w:t>
      </w:r>
      <w:r>
        <w:rPr>
          <w:rFonts w:cs="Times New Roman"/>
          <w:szCs w:val="24"/>
        </w:rPr>
        <w:t>image. The</w:t>
      </w:r>
      <w:r>
        <w:rPr>
          <w:rFonts w:cs="Times New Roman"/>
          <w:szCs w:val="24"/>
        </w:rPr>
        <w:t xml:space="preserve"> company</w:t>
      </w:r>
      <w:r>
        <w:rPr>
          <w:rFonts w:cs="Times New Roman"/>
          <w:szCs w:val="24"/>
        </w:rPr>
        <w:t xml:space="preserve"> focuses on managing its employees </w:t>
      </w:r>
      <w:r>
        <w:rPr>
          <w:rFonts w:cs="Times New Roman"/>
          <w:szCs w:val="24"/>
        </w:rPr>
        <w:t xml:space="preserve">to drive higher performance </w:t>
      </w:r>
      <w:r>
        <w:rPr>
          <w:rFonts w:cs="Times New Roman"/>
          <w:szCs w:val="24"/>
        </w:rPr>
        <w:t>and productivity—for instance, career growth and training opportunities for its employees.</w:t>
      </w:r>
      <w:r>
        <w:rPr>
          <w:rFonts w:cs="Times New Roman"/>
          <w:szCs w:val="24"/>
        </w:rPr>
        <w:t xml:space="preserve"> The</w:t>
      </w:r>
      <w:r>
        <w:rPr>
          <w:rFonts w:cs="Times New Roman"/>
          <w:szCs w:val="24"/>
        </w:rPr>
        <w:t xml:space="preserve"> company's culture also fosters inc</w:t>
      </w:r>
      <w:r>
        <w:rPr>
          <w:rFonts w:cs="Times New Roman"/>
          <w:szCs w:val="24"/>
        </w:rPr>
        <w:t>lusion and diversity to make the</w:t>
      </w:r>
      <w:r>
        <w:rPr>
          <w:rFonts w:cs="Times New Roman"/>
          <w:szCs w:val="24"/>
        </w:rPr>
        <w:t xml:space="preserve"> team stand out</w:t>
      </w:r>
      <w:r>
        <w:rPr>
          <w:rFonts w:cs="Times New Roman"/>
          <w:szCs w:val="24"/>
        </w:rPr>
        <w:t xml:space="preserve"> when responding to diverse markets.</w:t>
      </w:r>
    </w:p>
    <w:p>
      <w:pPr>
        <w:pStyle w:val="style0"/>
        <w:spacing w:lineRule="auto" w:line="480"/>
        <w:rPr>
          <w:rFonts w:cs="Times New Roman"/>
          <w:szCs w:val="24"/>
        </w:rPr>
      </w:pPr>
    </w:p>
    <w:p>
      <w:pPr>
        <w:pStyle w:val="style0"/>
        <w:spacing w:lineRule="auto" w:line="480"/>
        <w:rPr>
          <w:rFonts w:cs="Times New Roman"/>
          <w:b/>
          <w:szCs w:val="24"/>
        </w:rPr>
      </w:pPr>
      <w:r>
        <w:rPr>
          <w:rFonts w:cs="Times New Roman"/>
          <w:b/>
          <w:szCs w:val="24"/>
        </w:rPr>
        <w:t xml:space="preserve">Target Corporation </w:t>
      </w:r>
      <w:r>
        <w:rPr>
          <w:rFonts w:cs="Times New Roman"/>
          <w:b/>
          <w:szCs w:val="24"/>
        </w:rPr>
        <w:t>Accounting Analysis</w:t>
      </w:r>
      <w:r>
        <w:rPr>
          <w:rFonts w:cs="Times New Roman"/>
          <w:b/>
          <w:szCs w:val="24"/>
        </w:rPr>
        <w:t xml:space="preserve"> </w:t>
      </w:r>
    </w:p>
    <w:p>
      <w:pPr>
        <w:pStyle w:val="style0"/>
        <w:spacing w:lineRule="auto" w:line="480"/>
        <w:ind w:firstLine="720"/>
        <w:rPr>
          <w:rFonts w:cs="Times New Roman"/>
          <w:szCs w:val="24"/>
        </w:rPr>
      </w:pPr>
      <w:r>
        <w:rPr>
          <w:rFonts w:cs="Times New Roman"/>
          <w:szCs w:val="24"/>
        </w:rPr>
        <w:t>Accounting analysis checks and reviews financial statements' quality to ensure relevant a</w:t>
      </w:r>
      <w:r>
        <w:rPr>
          <w:rFonts w:cs="Times New Roman"/>
          <w:szCs w:val="24"/>
        </w:rPr>
        <w:t>ccounting standards are used</w:t>
      </w:r>
      <w:r>
        <w:rPr>
          <w:rFonts w:cs="Times New Roman"/>
          <w:szCs w:val="24"/>
        </w:rPr>
        <w:t xml:space="preserve"> </w:t>
      </w:r>
      <w:r>
        <w:rPr>
          <w:rFonts w:cs="Times New Roman"/>
          <w:szCs w:val="24"/>
        </w:rPr>
        <w:t>(AREAS, 2018)</w:t>
      </w:r>
      <w:r>
        <w:rPr>
          <w:rFonts w:cs="Times New Roman"/>
          <w:szCs w:val="24"/>
        </w:rPr>
        <w:t>. For instance, balance sheets should reflect the actual fair value of the company's economic position. When evaluating income statements, the main point is to properly assess the quality of earning as a complete representation of its economic performance. Evaluating the statement of cash flows brings understanding to the impact of the firm's liquidity position from its operations. Evaluation of statement of changes in equity is a fair representation of the owner's wealth as per the period.</w:t>
      </w:r>
      <w:r>
        <w:rPr>
          <w:rFonts w:cs="Times New Roman"/>
          <w:szCs w:val="24"/>
        </w:rPr>
        <w:t xml:space="preserve"> Account analysis also involves the evaluation of</w:t>
      </w:r>
      <w:r>
        <w:rPr>
          <w:rFonts w:cs="Times New Roman"/>
          <w:szCs w:val="24"/>
        </w:rPr>
        <w:t xml:space="preserve"> industry </w:t>
      </w:r>
      <w:r>
        <w:rPr>
          <w:rFonts w:cs="Times New Roman"/>
          <w:szCs w:val="24"/>
        </w:rPr>
        <w:t>attractiveness. Here</w:t>
      </w:r>
      <w:r>
        <w:rPr>
          <w:rFonts w:cs="Times New Roman"/>
          <w:szCs w:val="24"/>
        </w:rPr>
        <w:t xml:space="preserve"> the five </w:t>
      </w:r>
      <w:r>
        <w:rPr>
          <w:rFonts w:cs="Times New Roman"/>
          <w:szCs w:val="24"/>
        </w:rPr>
        <w:t>porter's</w:t>
      </w:r>
      <w:r>
        <w:rPr>
          <w:rFonts w:cs="Times New Roman"/>
          <w:szCs w:val="24"/>
        </w:rPr>
        <w:t xml:space="preserve"> </w:t>
      </w:r>
      <w:r>
        <w:rPr>
          <w:rFonts w:cs="Times New Roman"/>
          <w:szCs w:val="24"/>
        </w:rPr>
        <w:t>model is</w:t>
      </w:r>
      <w:r>
        <w:rPr>
          <w:rFonts w:cs="Times New Roman"/>
          <w:szCs w:val="24"/>
        </w:rPr>
        <w:t xml:space="preserve"> used to show buyers and supplier relationships with the company, ease of entry to the industry, availability of substitutes, and strategies the firm uses to differentiate itself from the competitors. </w:t>
      </w:r>
    </w:p>
    <w:p>
      <w:pPr>
        <w:pStyle w:val="style0"/>
        <w:spacing w:lineRule="auto" w:line="480"/>
        <w:rPr>
          <w:rFonts w:cs="Times New Roman"/>
          <w:szCs w:val="24"/>
        </w:rPr>
      </w:pPr>
      <w:r>
        <w:rPr>
          <w:rFonts w:cs="Times New Roman"/>
          <w:szCs w:val="24"/>
        </w:rPr>
        <w:t xml:space="preserve"> </w:t>
      </w:r>
      <w:r>
        <w:rPr>
          <w:rFonts w:cs="Times New Roman"/>
          <w:szCs w:val="24"/>
        </w:rPr>
        <w:tab/>
      </w:r>
      <w:r>
        <w:rPr>
          <w:rFonts w:cs="Times New Roman"/>
          <w:szCs w:val="24"/>
        </w:rPr>
        <w:t>Another perspective of the account analysis is the evaluation of risks and returns</w:t>
      </w:r>
      <w:r>
        <w:rPr>
          <w:rFonts w:cs="Times New Roman"/>
          <w:szCs w:val="24"/>
        </w:rPr>
        <w:t>. They are focusing on the risk factor in the target corporation</w:t>
      </w:r>
      <w:r>
        <w:rPr>
          <w:rFonts w:cs="Times New Roman"/>
          <w:szCs w:val="24"/>
        </w:rPr>
        <w:t>. The method shows financial risks as one of the significant risks. For example, expansion to other markets outside the USA will significantly affect the tax rate.</w:t>
      </w:r>
      <w:r>
        <w:rPr>
          <w:rFonts w:cs="Times New Roman"/>
          <w:szCs w:val="24"/>
        </w:rPr>
        <w:t xml:space="preserve"> </w:t>
      </w:r>
      <w:r>
        <w:rPr>
          <w:rFonts w:cs="Times New Roman"/>
          <w:szCs w:val="24"/>
        </w:rPr>
        <w:t>Also, the company heavily depends on a well-functioning financial system to fund operations and capital investments. The ability to access financial markets depends on various factors such as ensuring strong credit rates and planned management of derivative products as exposure</w:t>
      </w:r>
      <w:r>
        <w:rPr>
          <w:rFonts w:cs="Times New Roman"/>
          <w:szCs w:val="24"/>
        </w:rPr>
        <w:t xml:space="preserve"> </w:t>
      </w:r>
      <w:r>
        <w:rPr>
          <w:rFonts w:cs="Times New Roman"/>
          <w:szCs w:val="24"/>
        </w:rPr>
        <w:t>to reduce market</w:t>
      </w:r>
      <w:r>
        <w:rPr>
          <w:rFonts w:cs="Times New Roman"/>
          <w:szCs w:val="24"/>
        </w:rPr>
        <w:t xml:space="preserve"> risk. Legal and external risk </w:t>
      </w:r>
      <w:r>
        <w:rPr>
          <w:rFonts w:cs="Times New Roman"/>
          <w:szCs w:val="24"/>
        </w:rPr>
        <w:t>factors, the</w:t>
      </w:r>
      <w:r>
        <w:rPr>
          <w:rFonts w:cs="Times New Roman"/>
          <w:szCs w:val="24"/>
        </w:rPr>
        <w:t xml:space="preserve"> </w:t>
      </w:r>
      <w:r>
        <w:rPr>
          <w:rFonts w:cs="Times New Roman"/>
          <w:szCs w:val="24"/>
        </w:rPr>
        <w:t>United States</w:t>
      </w:r>
      <w:r>
        <w:rPr>
          <w:rFonts w:cs="Times New Roman"/>
          <w:szCs w:val="24"/>
        </w:rPr>
        <w:t xml:space="preserve"> regulations, and health </w:t>
      </w:r>
      <w:r>
        <w:rPr>
          <w:rFonts w:cs="Times New Roman"/>
          <w:szCs w:val="24"/>
        </w:rPr>
        <w:t xml:space="preserve">concerns of the company's product </w:t>
      </w:r>
      <w:r>
        <w:rPr>
          <w:rFonts w:cs="Times New Roman"/>
          <w:szCs w:val="24"/>
        </w:rPr>
        <w:t>pos</w:t>
      </w:r>
      <w:r>
        <w:rPr>
          <w:rFonts w:cs="Times New Roman"/>
          <w:szCs w:val="24"/>
        </w:rPr>
        <w:t xml:space="preserve">e </w:t>
      </w:r>
      <w:r>
        <w:rPr>
          <w:rFonts w:cs="Times New Roman"/>
          <w:szCs w:val="24"/>
        </w:rPr>
        <w:t xml:space="preserve">a challenge to the company that may </w:t>
      </w:r>
      <w:r>
        <w:rPr>
          <w:rFonts w:cs="Times New Roman"/>
          <w:szCs w:val="24"/>
        </w:rPr>
        <w:t>lower consumer confidence</w:t>
      </w:r>
      <w:r>
        <w:rPr>
          <w:rFonts w:cs="Times New Roman"/>
          <w:szCs w:val="24"/>
        </w:rPr>
        <w:t>, which reduces the reven</w:t>
      </w:r>
      <w:r>
        <w:rPr>
          <w:rFonts w:cs="Times New Roman"/>
          <w:szCs w:val="24"/>
        </w:rPr>
        <w:t xml:space="preserve">ue to the company </w:t>
      </w:r>
      <w:r>
        <w:rPr>
          <w:rFonts w:cs="Times New Roman"/>
          <w:szCs w:val="24"/>
        </w:rPr>
        <w:t>on</w:t>
      </w:r>
      <w:r>
        <w:rPr>
          <w:rFonts w:cs="Times New Roman"/>
          <w:szCs w:val="24"/>
        </w:rPr>
        <w:t xml:space="preserve"> decreased sales.</w:t>
      </w:r>
      <w:r>
        <w:rPr>
          <w:rFonts w:cs="Times New Roman"/>
          <w:szCs w:val="24"/>
        </w:rPr>
        <w:t xml:space="preserve"> Supply chain and third-party risk depend on vendors and merchandise to make distr</w:t>
      </w:r>
      <w:r>
        <w:rPr>
          <w:rFonts w:cs="Times New Roman"/>
          <w:szCs w:val="24"/>
        </w:rPr>
        <w:t xml:space="preserve">ibutions to their </w:t>
      </w:r>
      <w:r>
        <w:rPr>
          <w:rFonts w:cs="Times New Roman"/>
          <w:szCs w:val="24"/>
        </w:rPr>
        <w:t xml:space="preserve">centers. </w:t>
      </w:r>
      <w:r>
        <w:rPr>
          <w:rFonts w:cs="Times New Roman"/>
          <w:szCs w:val="24"/>
        </w:rPr>
        <w:t xml:space="preserve">According to </w:t>
      </w:r>
      <w:r>
        <w:rPr>
          <w:rFonts w:cs="Times New Roman" w:eastAsia="Times New Roman"/>
          <w:szCs w:val="24"/>
        </w:rPr>
        <w:t xml:space="preserve">Plachkinova &amp; Maurer </w:t>
      </w:r>
      <w:r>
        <w:rPr>
          <w:rFonts w:cs="Times New Roman" w:eastAsia="Times New Roman"/>
          <w:szCs w:val="24"/>
        </w:rPr>
        <w:t>2018</w:t>
      </w:r>
      <w:r>
        <w:rPr>
          <w:rFonts w:cs="Times New Roman" w:eastAsia="Times New Roman"/>
          <w:szCs w:val="24"/>
        </w:rPr>
        <w:t xml:space="preserve">, </w:t>
      </w:r>
      <w:r>
        <w:rPr>
          <w:rFonts w:cs="Times New Roman"/>
          <w:szCs w:val="24"/>
        </w:rPr>
        <w:t>t</w:t>
      </w:r>
      <w:r>
        <w:rPr>
          <w:rFonts w:cs="Times New Roman"/>
          <w:szCs w:val="24"/>
        </w:rPr>
        <w:t>he</w:t>
      </w:r>
      <w:r>
        <w:rPr>
          <w:rFonts w:cs="Times New Roman"/>
          <w:szCs w:val="24"/>
        </w:rPr>
        <w:t xml:space="preserve"> suppliers' lack of </w:t>
      </w:r>
      <w:r>
        <w:rPr>
          <w:rFonts w:cs="Times New Roman"/>
          <w:szCs w:val="24"/>
        </w:rPr>
        <w:t xml:space="preserve">commitment may lead to out of </w:t>
      </w:r>
      <w:r>
        <w:rPr>
          <w:rFonts w:cs="Times New Roman"/>
          <w:szCs w:val="24"/>
        </w:rPr>
        <w:t>stock, delivery</w:t>
      </w:r>
      <w:r>
        <w:rPr>
          <w:rFonts w:cs="Times New Roman"/>
          <w:szCs w:val="24"/>
        </w:rPr>
        <w:t xml:space="preserve"> </w:t>
      </w:r>
      <w:r>
        <w:rPr>
          <w:rFonts w:cs="Times New Roman"/>
          <w:szCs w:val="24"/>
        </w:rPr>
        <w:t>delays,</w:t>
      </w:r>
      <w:r>
        <w:rPr>
          <w:rFonts w:cs="Times New Roman"/>
          <w:szCs w:val="24"/>
        </w:rPr>
        <w:t xml:space="preserve"> decreased customer confidence, and low </w:t>
      </w:r>
      <w:r>
        <w:rPr>
          <w:rFonts w:cs="Times New Roman"/>
          <w:szCs w:val="24"/>
        </w:rPr>
        <w:t xml:space="preserve">operations. </w:t>
      </w:r>
      <w:r>
        <w:rPr>
          <w:rFonts w:cs="Times New Roman"/>
          <w:szCs w:val="24"/>
        </w:rPr>
        <w:t>O</w:t>
      </w:r>
      <w:r>
        <w:rPr>
          <w:rFonts w:cs="Times New Roman"/>
          <w:szCs w:val="24"/>
        </w:rPr>
        <w:t>n the other hand, returns are estim</w:t>
      </w:r>
      <w:r>
        <w:rPr>
          <w:rFonts w:cs="Times New Roman"/>
          <w:szCs w:val="24"/>
        </w:rPr>
        <w:t>ates expected by the investors</w:t>
      </w:r>
      <w:r>
        <w:rPr>
          <w:rFonts w:cs="Times New Roman"/>
          <w:szCs w:val="24"/>
        </w:rPr>
        <w:t xml:space="preserve"> </w:t>
      </w:r>
      <w:r>
        <w:rPr>
          <w:rFonts w:cs="Times New Roman"/>
          <w:szCs w:val="24"/>
        </w:rPr>
        <w:t xml:space="preserve">(Andreoli, </w:t>
      </w:r>
      <w:r>
        <w:rPr>
          <w:rFonts w:cs="Times New Roman"/>
          <w:szCs w:val="24"/>
        </w:rPr>
        <w:t>2018).</w:t>
      </w:r>
      <w:r>
        <w:rPr>
          <w:rFonts w:cs="Times New Roman"/>
          <w:szCs w:val="24"/>
        </w:rPr>
        <w:t xml:space="preserve"> For example,</w:t>
      </w:r>
      <w:r>
        <w:rPr>
          <w:rFonts w:cs="Times New Roman"/>
          <w:szCs w:val="24"/>
        </w:rPr>
        <w:t xml:space="preserve"> the company has </w:t>
      </w:r>
      <w:r>
        <w:rPr>
          <w:rFonts w:cs="Times New Roman"/>
          <w:szCs w:val="24"/>
        </w:rPr>
        <w:t>strategized on</w:t>
      </w:r>
      <w:r>
        <w:rPr>
          <w:rFonts w:cs="Times New Roman"/>
          <w:szCs w:val="24"/>
        </w:rPr>
        <w:t xml:space="preserve"> better employee compensation </w:t>
      </w:r>
      <w:r>
        <w:rPr>
          <w:rFonts w:cs="Times New Roman"/>
          <w:szCs w:val="24"/>
        </w:rPr>
        <w:t>plans to</w:t>
      </w:r>
      <w:r>
        <w:rPr>
          <w:rFonts w:cs="Times New Roman"/>
          <w:szCs w:val="24"/>
        </w:rPr>
        <w:t xml:space="preserve"> </w:t>
      </w:r>
      <w:r>
        <w:rPr>
          <w:rFonts w:cs="Times New Roman"/>
          <w:szCs w:val="24"/>
        </w:rPr>
        <w:t xml:space="preserve">increase employee performance hence considerable </w:t>
      </w:r>
      <w:r>
        <w:rPr>
          <w:rFonts w:cs="Times New Roman"/>
          <w:szCs w:val="24"/>
        </w:rPr>
        <w:t xml:space="preserve">returns to the company inform of </w:t>
      </w:r>
      <w:r>
        <w:rPr>
          <w:rFonts w:cs="Times New Roman"/>
          <w:szCs w:val="24"/>
        </w:rPr>
        <w:t>increased sales and production efficiency.</w:t>
      </w:r>
    </w:p>
    <w:p>
      <w:pPr>
        <w:pStyle w:val="style0"/>
        <w:spacing w:lineRule="auto" w:line="480"/>
        <w:rPr>
          <w:rFonts w:cs="Times New Roman"/>
          <w:szCs w:val="24"/>
        </w:rPr>
      </w:pPr>
      <w:r>
        <w:rPr>
          <w:rFonts w:cs="Times New Roman"/>
          <w:b/>
          <w:szCs w:val="24"/>
        </w:rPr>
        <w:t>Targe</w:t>
      </w:r>
      <w:r>
        <w:rPr>
          <w:rFonts w:cs="Times New Roman"/>
          <w:b/>
          <w:szCs w:val="24"/>
        </w:rPr>
        <w:t>t Corporation Financial Analysis</w:t>
      </w:r>
    </w:p>
    <w:p>
      <w:pPr>
        <w:pStyle w:val="style0"/>
        <w:spacing w:lineRule="auto" w:line="480"/>
        <w:rPr>
          <w:rFonts w:cs="Times New Roman"/>
          <w:szCs w:val="24"/>
        </w:rPr>
      </w:pPr>
      <w:r>
        <w:rPr>
          <w:rFonts w:cs="Times New Roman"/>
          <w:szCs w:val="24"/>
        </w:rPr>
        <w:t xml:space="preserve">US $ in millions </w:t>
      </w:r>
    </w:p>
    <w:tbl>
      <w:tblPr>
        <w:tblStyle w:val="style154"/>
        <w:tblW w:w="0" w:type="auto"/>
        <w:tblLook w:val="04A0" w:firstRow="1" w:lastRow="0" w:firstColumn="1" w:lastColumn="0" w:noHBand="0" w:noVBand="1"/>
      </w:tblPr>
      <w:tblGrid>
        <w:gridCol w:w="2337"/>
        <w:gridCol w:w="2337"/>
        <w:gridCol w:w="2338"/>
        <w:gridCol w:w="2338"/>
      </w:tblGrid>
      <w:tr>
        <w:trPr/>
        <w:tc>
          <w:tcPr>
            <w:tcW w:w="2337" w:type="dxa"/>
            <w:tcBorders/>
            <w:tcFitText w:val="false"/>
          </w:tcPr>
          <w:p>
            <w:pPr>
              <w:pStyle w:val="style0"/>
              <w:spacing w:lineRule="auto" w:line="480"/>
              <w:rPr>
                <w:rFonts w:cs="Times New Roman"/>
                <w:szCs w:val="24"/>
              </w:rPr>
            </w:pPr>
            <w:r>
              <w:rPr>
                <w:rFonts w:cs="Times New Roman"/>
                <w:szCs w:val="24"/>
              </w:rPr>
              <w:t>Item/year</w:t>
            </w:r>
          </w:p>
        </w:tc>
        <w:tc>
          <w:tcPr>
            <w:tcW w:w="2337" w:type="dxa"/>
            <w:tcBorders/>
            <w:tcFitText w:val="false"/>
          </w:tcPr>
          <w:p>
            <w:pPr>
              <w:pStyle w:val="style0"/>
              <w:spacing w:lineRule="auto" w:line="480"/>
              <w:rPr>
                <w:rFonts w:cs="Times New Roman"/>
                <w:szCs w:val="24"/>
              </w:rPr>
            </w:pPr>
            <w:r>
              <w:rPr>
                <w:rFonts w:cs="Times New Roman"/>
                <w:szCs w:val="24"/>
              </w:rPr>
              <w:t>2020</w:t>
            </w:r>
          </w:p>
        </w:tc>
        <w:tc>
          <w:tcPr>
            <w:tcW w:w="2338" w:type="dxa"/>
            <w:tcBorders/>
            <w:tcFitText w:val="false"/>
          </w:tcPr>
          <w:p>
            <w:pPr>
              <w:pStyle w:val="style0"/>
              <w:spacing w:lineRule="auto" w:line="480"/>
              <w:rPr>
                <w:rFonts w:cs="Times New Roman"/>
                <w:szCs w:val="24"/>
              </w:rPr>
            </w:pPr>
            <w:r>
              <w:rPr>
                <w:rFonts w:cs="Times New Roman"/>
                <w:szCs w:val="24"/>
              </w:rPr>
              <w:t>2019</w:t>
            </w:r>
          </w:p>
        </w:tc>
        <w:tc>
          <w:tcPr>
            <w:tcW w:w="2338" w:type="dxa"/>
            <w:tcBorders/>
            <w:tcFitText w:val="false"/>
          </w:tcPr>
          <w:p>
            <w:pPr>
              <w:pStyle w:val="style0"/>
              <w:spacing w:lineRule="auto" w:line="480"/>
              <w:rPr>
                <w:rFonts w:cs="Times New Roman"/>
                <w:szCs w:val="24"/>
              </w:rPr>
            </w:pPr>
            <w:r>
              <w:rPr>
                <w:rFonts w:cs="Times New Roman"/>
                <w:szCs w:val="24"/>
              </w:rPr>
              <w:t>2018</w:t>
            </w:r>
          </w:p>
        </w:tc>
      </w:tr>
      <w:tr>
        <w:tblPrEx/>
        <w:trPr/>
        <w:tc>
          <w:tcPr>
            <w:tcW w:w="2337" w:type="dxa"/>
            <w:tcBorders/>
            <w:tcFitText w:val="false"/>
          </w:tcPr>
          <w:p>
            <w:pPr>
              <w:pStyle w:val="style0"/>
              <w:spacing w:lineRule="auto" w:line="480"/>
              <w:rPr>
                <w:rFonts w:cs="Times New Roman"/>
                <w:szCs w:val="24"/>
              </w:rPr>
            </w:pPr>
            <w:r>
              <w:rPr>
                <w:rFonts w:cs="Times New Roman"/>
                <w:szCs w:val="24"/>
              </w:rPr>
              <w:t>Current assets</w:t>
            </w:r>
          </w:p>
        </w:tc>
        <w:tc>
          <w:tcPr>
            <w:tcW w:w="2337" w:type="dxa"/>
            <w:tcBorders/>
            <w:tcFitText w:val="false"/>
          </w:tcPr>
          <w:p>
            <w:pPr>
              <w:pStyle w:val="style0"/>
              <w:spacing w:lineRule="auto" w:line="480"/>
              <w:rPr>
                <w:rFonts w:cs="Times New Roman"/>
                <w:szCs w:val="24"/>
              </w:rPr>
            </w:pPr>
            <w:r>
              <w:rPr>
                <w:rFonts w:cs="Times New Roman"/>
                <w:szCs w:val="24"/>
              </w:rPr>
              <w:t>12,902</w:t>
            </w:r>
          </w:p>
        </w:tc>
        <w:tc>
          <w:tcPr>
            <w:tcW w:w="2338" w:type="dxa"/>
            <w:tcBorders/>
            <w:tcFitText w:val="false"/>
          </w:tcPr>
          <w:p>
            <w:pPr>
              <w:pStyle w:val="style0"/>
              <w:spacing w:lineRule="auto" w:line="480"/>
              <w:rPr>
                <w:rFonts w:cs="Times New Roman"/>
                <w:szCs w:val="24"/>
              </w:rPr>
            </w:pPr>
            <w:r>
              <w:rPr>
                <w:rFonts w:cs="Times New Roman"/>
                <w:szCs w:val="24"/>
              </w:rPr>
              <w:t>12,519</w:t>
            </w:r>
          </w:p>
        </w:tc>
        <w:tc>
          <w:tcPr>
            <w:tcW w:w="2338" w:type="dxa"/>
            <w:tcBorders/>
            <w:tcFitText w:val="false"/>
          </w:tcPr>
          <w:p>
            <w:pPr>
              <w:pStyle w:val="style0"/>
              <w:spacing w:lineRule="auto" w:line="480"/>
              <w:rPr>
                <w:rFonts w:cs="Times New Roman"/>
                <w:szCs w:val="24"/>
              </w:rPr>
            </w:pPr>
            <w:r>
              <w:rPr>
                <w:rFonts w:cs="Times New Roman"/>
                <w:szCs w:val="24"/>
              </w:rPr>
              <w:t>12,564</w:t>
            </w:r>
          </w:p>
        </w:tc>
      </w:tr>
      <w:tr>
        <w:tblPrEx/>
        <w:trPr/>
        <w:tc>
          <w:tcPr>
            <w:tcW w:w="2337" w:type="dxa"/>
            <w:tcBorders/>
            <w:tcFitText w:val="false"/>
          </w:tcPr>
          <w:p>
            <w:pPr>
              <w:pStyle w:val="style0"/>
              <w:spacing w:lineRule="auto" w:line="480"/>
              <w:rPr>
                <w:rFonts w:cs="Times New Roman"/>
                <w:szCs w:val="24"/>
              </w:rPr>
            </w:pPr>
            <w:r>
              <w:rPr>
                <w:rFonts w:cs="Times New Roman"/>
                <w:szCs w:val="24"/>
              </w:rPr>
              <w:t>Current liabilities</w:t>
            </w:r>
          </w:p>
        </w:tc>
        <w:tc>
          <w:tcPr>
            <w:tcW w:w="2337" w:type="dxa"/>
            <w:tcBorders/>
            <w:tcFitText w:val="false"/>
          </w:tcPr>
          <w:p>
            <w:pPr>
              <w:pStyle w:val="style0"/>
              <w:spacing w:lineRule="auto" w:line="480"/>
              <w:rPr>
                <w:rFonts w:cs="Times New Roman"/>
                <w:szCs w:val="24"/>
              </w:rPr>
            </w:pPr>
            <w:r>
              <w:rPr>
                <w:rFonts w:cs="Times New Roman"/>
                <w:szCs w:val="24"/>
              </w:rPr>
              <w:t>14,487</w:t>
            </w:r>
          </w:p>
        </w:tc>
        <w:tc>
          <w:tcPr>
            <w:tcW w:w="2338" w:type="dxa"/>
            <w:tcBorders/>
            <w:tcFitText w:val="false"/>
          </w:tcPr>
          <w:p>
            <w:pPr>
              <w:pStyle w:val="style0"/>
              <w:spacing w:lineRule="auto" w:line="480"/>
              <w:rPr>
                <w:rFonts w:cs="Times New Roman"/>
                <w:szCs w:val="24"/>
              </w:rPr>
            </w:pPr>
            <w:r>
              <w:rPr>
                <w:rFonts w:cs="Times New Roman"/>
                <w:szCs w:val="24"/>
              </w:rPr>
              <w:t>15,014</w:t>
            </w:r>
          </w:p>
        </w:tc>
        <w:tc>
          <w:tcPr>
            <w:tcW w:w="2338" w:type="dxa"/>
            <w:tcBorders/>
            <w:tcFitText w:val="false"/>
          </w:tcPr>
          <w:p>
            <w:pPr>
              <w:pStyle w:val="style0"/>
              <w:spacing w:lineRule="auto" w:line="480"/>
              <w:rPr>
                <w:rFonts w:cs="Times New Roman"/>
                <w:szCs w:val="24"/>
              </w:rPr>
            </w:pPr>
            <w:r>
              <w:rPr>
                <w:rFonts w:cs="Times New Roman"/>
                <w:szCs w:val="24"/>
              </w:rPr>
              <w:t>13,201</w:t>
            </w:r>
          </w:p>
        </w:tc>
      </w:tr>
      <w:tr>
        <w:tblPrEx/>
        <w:trPr/>
        <w:tc>
          <w:tcPr>
            <w:tcW w:w="2337" w:type="dxa"/>
            <w:tcBorders/>
            <w:tcFitText w:val="false"/>
          </w:tcPr>
          <w:p>
            <w:pPr>
              <w:pStyle w:val="style0"/>
              <w:spacing w:lineRule="auto" w:line="480"/>
              <w:rPr>
                <w:rFonts w:cs="Times New Roman"/>
                <w:szCs w:val="24"/>
              </w:rPr>
            </w:pPr>
            <w:r>
              <w:rPr>
                <w:rFonts w:cs="Times New Roman"/>
                <w:szCs w:val="24"/>
              </w:rPr>
              <w:t>inventories</w:t>
            </w:r>
          </w:p>
        </w:tc>
        <w:tc>
          <w:tcPr>
            <w:tcW w:w="2337" w:type="dxa"/>
            <w:tcBorders/>
            <w:tcFitText w:val="false"/>
          </w:tcPr>
          <w:p>
            <w:pPr>
              <w:pStyle w:val="style0"/>
              <w:spacing w:lineRule="auto" w:line="480"/>
              <w:rPr>
                <w:rFonts w:cs="Times New Roman"/>
                <w:szCs w:val="24"/>
              </w:rPr>
            </w:pPr>
            <w:r>
              <w:rPr>
                <w:rFonts w:cs="Times New Roman"/>
                <w:szCs w:val="24"/>
              </w:rPr>
              <w:t>8,992</w:t>
            </w:r>
          </w:p>
        </w:tc>
        <w:tc>
          <w:tcPr>
            <w:tcW w:w="2338" w:type="dxa"/>
            <w:tcBorders/>
            <w:tcFitText w:val="false"/>
          </w:tcPr>
          <w:p>
            <w:pPr>
              <w:pStyle w:val="style0"/>
              <w:spacing w:lineRule="auto" w:line="480"/>
              <w:rPr>
                <w:rFonts w:cs="Times New Roman"/>
                <w:szCs w:val="24"/>
              </w:rPr>
            </w:pPr>
            <w:r>
              <w:rPr>
                <w:rFonts w:cs="Times New Roman"/>
                <w:szCs w:val="24"/>
              </w:rPr>
              <w:t>9,497</w:t>
            </w:r>
          </w:p>
        </w:tc>
        <w:tc>
          <w:tcPr>
            <w:tcW w:w="2338" w:type="dxa"/>
            <w:tcBorders/>
            <w:tcFitText w:val="false"/>
          </w:tcPr>
          <w:p>
            <w:pPr>
              <w:pStyle w:val="style0"/>
              <w:spacing w:lineRule="auto" w:line="480"/>
              <w:rPr>
                <w:rFonts w:cs="Times New Roman"/>
                <w:szCs w:val="24"/>
              </w:rPr>
            </w:pPr>
            <w:r>
              <w:rPr>
                <w:rFonts w:cs="Times New Roman"/>
                <w:szCs w:val="24"/>
              </w:rPr>
              <w:t>8,657</w:t>
            </w:r>
          </w:p>
        </w:tc>
      </w:tr>
      <w:tr>
        <w:tblPrEx/>
        <w:trPr/>
        <w:tc>
          <w:tcPr>
            <w:tcW w:w="2337" w:type="dxa"/>
            <w:tcBorders/>
            <w:tcFitText w:val="false"/>
          </w:tcPr>
          <w:p>
            <w:pPr>
              <w:pStyle w:val="style0"/>
              <w:spacing w:lineRule="auto" w:line="480"/>
              <w:rPr>
                <w:rFonts w:cs="Times New Roman"/>
                <w:szCs w:val="24"/>
              </w:rPr>
            </w:pPr>
            <w:r>
              <w:rPr>
                <w:rFonts w:cs="Times New Roman"/>
                <w:szCs w:val="24"/>
              </w:rPr>
              <w:t>cash</w:t>
            </w:r>
          </w:p>
        </w:tc>
        <w:tc>
          <w:tcPr>
            <w:tcW w:w="2337" w:type="dxa"/>
            <w:tcBorders/>
            <w:tcFitText w:val="false"/>
          </w:tcPr>
          <w:p>
            <w:pPr>
              <w:pStyle w:val="style0"/>
              <w:spacing w:lineRule="auto" w:line="480"/>
              <w:rPr>
                <w:rFonts w:cs="Times New Roman"/>
                <w:szCs w:val="24"/>
              </w:rPr>
            </w:pPr>
            <w:r>
              <w:rPr>
                <w:rFonts w:cs="Times New Roman"/>
                <w:szCs w:val="24"/>
              </w:rPr>
              <w:t>2,577</w:t>
            </w:r>
          </w:p>
        </w:tc>
        <w:tc>
          <w:tcPr>
            <w:tcW w:w="2338" w:type="dxa"/>
            <w:tcBorders/>
            <w:tcFitText w:val="false"/>
          </w:tcPr>
          <w:p>
            <w:pPr>
              <w:pStyle w:val="style0"/>
              <w:spacing w:lineRule="auto" w:line="480"/>
              <w:rPr>
                <w:rFonts w:cs="Times New Roman"/>
                <w:szCs w:val="24"/>
              </w:rPr>
            </w:pPr>
            <w:r>
              <w:rPr>
                <w:rFonts w:cs="Times New Roman"/>
                <w:szCs w:val="24"/>
              </w:rPr>
              <w:t>1,556</w:t>
            </w:r>
          </w:p>
        </w:tc>
        <w:tc>
          <w:tcPr>
            <w:tcW w:w="2338" w:type="dxa"/>
            <w:tcBorders/>
            <w:tcFitText w:val="false"/>
          </w:tcPr>
          <w:p>
            <w:pPr>
              <w:pStyle w:val="style0"/>
              <w:spacing w:lineRule="auto" w:line="480"/>
              <w:rPr>
                <w:rFonts w:cs="Times New Roman"/>
                <w:szCs w:val="24"/>
              </w:rPr>
            </w:pPr>
            <w:r>
              <w:rPr>
                <w:rFonts w:cs="Times New Roman"/>
                <w:szCs w:val="24"/>
              </w:rPr>
              <w:t>2,643</w:t>
            </w:r>
          </w:p>
        </w:tc>
      </w:tr>
      <w:tr>
        <w:tblPrEx/>
        <w:trPr/>
        <w:tc>
          <w:tcPr>
            <w:tcW w:w="2337" w:type="dxa"/>
            <w:tcBorders/>
            <w:tcFitText w:val="false"/>
          </w:tcPr>
          <w:p>
            <w:pPr>
              <w:pStyle w:val="style0"/>
              <w:spacing w:lineRule="auto" w:line="480"/>
              <w:rPr>
                <w:rFonts w:cs="Times New Roman"/>
                <w:szCs w:val="24"/>
              </w:rPr>
            </w:pPr>
            <w:r>
              <w:rPr>
                <w:rFonts w:cs="Times New Roman"/>
                <w:szCs w:val="24"/>
              </w:rPr>
              <w:t>receivables</w:t>
            </w:r>
          </w:p>
        </w:tc>
        <w:tc>
          <w:tcPr>
            <w:tcW w:w="2337" w:type="dxa"/>
            <w:tcBorders/>
            <w:tcFitText w:val="false"/>
          </w:tcPr>
          <w:p>
            <w:pPr>
              <w:pStyle w:val="style0"/>
              <w:spacing w:lineRule="auto" w:line="480"/>
              <w:rPr>
                <w:rFonts w:cs="Times New Roman"/>
                <w:szCs w:val="24"/>
              </w:rPr>
            </w:pPr>
            <w:r>
              <w:rPr>
                <w:rFonts w:cs="Times New Roman"/>
                <w:szCs w:val="24"/>
              </w:rPr>
              <w:t>464</w:t>
            </w:r>
          </w:p>
        </w:tc>
        <w:tc>
          <w:tcPr>
            <w:tcW w:w="2338" w:type="dxa"/>
            <w:tcBorders/>
            <w:tcFitText w:val="false"/>
          </w:tcPr>
          <w:p>
            <w:pPr>
              <w:pStyle w:val="style0"/>
              <w:spacing w:lineRule="auto" w:line="480"/>
              <w:rPr>
                <w:rFonts w:cs="Times New Roman"/>
                <w:szCs w:val="24"/>
              </w:rPr>
            </w:pPr>
            <w:r>
              <w:rPr>
                <w:rFonts w:cs="Times New Roman"/>
                <w:szCs w:val="24"/>
              </w:rPr>
              <w:t>468</w:t>
            </w:r>
          </w:p>
        </w:tc>
        <w:tc>
          <w:tcPr>
            <w:tcW w:w="2338" w:type="dxa"/>
            <w:tcBorders/>
            <w:tcFitText w:val="false"/>
          </w:tcPr>
          <w:p>
            <w:pPr>
              <w:pStyle w:val="style0"/>
              <w:spacing w:lineRule="auto" w:line="480"/>
              <w:rPr>
                <w:rFonts w:cs="Times New Roman"/>
                <w:szCs w:val="24"/>
              </w:rPr>
            </w:pPr>
            <w:r>
              <w:rPr>
                <w:rFonts w:cs="Times New Roman"/>
                <w:szCs w:val="24"/>
              </w:rPr>
              <w:t>416</w:t>
            </w:r>
          </w:p>
        </w:tc>
      </w:tr>
      <w:tr>
        <w:tblPrEx/>
        <w:trPr/>
        <w:tc>
          <w:tcPr>
            <w:tcW w:w="2337" w:type="dxa"/>
            <w:tcBorders/>
            <w:tcFitText w:val="false"/>
          </w:tcPr>
          <w:p>
            <w:pPr>
              <w:pStyle w:val="style0"/>
              <w:spacing w:lineRule="auto" w:line="480"/>
              <w:rPr>
                <w:rFonts w:cs="Times New Roman"/>
                <w:szCs w:val="24"/>
              </w:rPr>
            </w:pPr>
            <w:r>
              <w:rPr>
                <w:rFonts w:cs="Times New Roman"/>
                <w:szCs w:val="24"/>
              </w:rPr>
              <w:t>Total assets</w:t>
            </w:r>
          </w:p>
        </w:tc>
        <w:tc>
          <w:tcPr>
            <w:tcW w:w="2337" w:type="dxa"/>
            <w:tcBorders/>
            <w:tcFitText w:val="false"/>
          </w:tcPr>
          <w:p>
            <w:pPr>
              <w:pStyle w:val="style0"/>
              <w:spacing w:lineRule="auto" w:line="480"/>
              <w:rPr>
                <w:rFonts w:cs="Times New Roman"/>
                <w:szCs w:val="24"/>
              </w:rPr>
            </w:pPr>
            <w:r>
              <w:rPr>
                <w:rFonts w:cs="Times New Roman"/>
                <w:szCs w:val="24"/>
              </w:rPr>
              <w:t>42,779</w:t>
            </w:r>
          </w:p>
        </w:tc>
        <w:tc>
          <w:tcPr>
            <w:tcW w:w="2338" w:type="dxa"/>
            <w:tcBorders/>
            <w:tcFitText w:val="false"/>
          </w:tcPr>
          <w:p>
            <w:pPr>
              <w:pStyle w:val="style0"/>
              <w:spacing w:lineRule="auto" w:line="480"/>
              <w:rPr>
                <w:rFonts w:cs="Times New Roman"/>
                <w:szCs w:val="24"/>
              </w:rPr>
            </w:pPr>
            <w:r>
              <w:rPr>
                <w:rFonts w:cs="Times New Roman"/>
                <w:szCs w:val="24"/>
              </w:rPr>
              <w:t>41,290</w:t>
            </w:r>
          </w:p>
        </w:tc>
        <w:tc>
          <w:tcPr>
            <w:tcW w:w="2338" w:type="dxa"/>
            <w:tcBorders/>
            <w:tcFitText w:val="false"/>
          </w:tcPr>
          <w:p>
            <w:pPr>
              <w:pStyle w:val="style0"/>
              <w:spacing w:lineRule="auto" w:line="480"/>
              <w:rPr>
                <w:rFonts w:cs="Times New Roman"/>
                <w:szCs w:val="24"/>
              </w:rPr>
            </w:pPr>
            <w:r>
              <w:rPr>
                <w:rFonts w:cs="Times New Roman"/>
                <w:szCs w:val="24"/>
              </w:rPr>
              <w:t>38,999</w:t>
            </w:r>
          </w:p>
        </w:tc>
      </w:tr>
      <w:tr>
        <w:tblPrEx/>
        <w:trPr/>
        <w:tc>
          <w:tcPr>
            <w:tcW w:w="2337" w:type="dxa"/>
            <w:tcBorders/>
            <w:tcFitText w:val="false"/>
          </w:tcPr>
          <w:p>
            <w:pPr>
              <w:pStyle w:val="style0"/>
              <w:spacing w:lineRule="auto" w:line="480"/>
              <w:rPr>
                <w:rFonts w:cs="Times New Roman"/>
                <w:szCs w:val="24"/>
              </w:rPr>
            </w:pPr>
            <w:r>
              <w:rPr>
                <w:rFonts w:cs="Times New Roman"/>
                <w:szCs w:val="24"/>
              </w:rPr>
              <w:t>Total liabilities</w:t>
            </w:r>
          </w:p>
        </w:tc>
        <w:tc>
          <w:tcPr>
            <w:tcW w:w="2337" w:type="dxa"/>
            <w:tcBorders/>
            <w:tcFitText w:val="false"/>
          </w:tcPr>
          <w:p>
            <w:pPr>
              <w:pStyle w:val="style0"/>
              <w:spacing w:lineRule="auto" w:line="480"/>
              <w:rPr>
                <w:rFonts w:cs="Times New Roman"/>
                <w:szCs w:val="24"/>
              </w:rPr>
            </w:pPr>
            <w:r>
              <w:rPr>
                <w:rFonts w:cs="Times New Roman"/>
                <w:szCs w:val="24"/>
              </w:rPr>
              <w:t>30,946</w:t>
            </w:r>
          </w:p>
        </w:tc>
        <w:tc>
          <w:tcPr>
            <w:tcW w:w="2338" w:type="dxa"/>
            <w:tcBorders/>
            <w:tcFitText w:val="false"/>
          </w:tcPr>
          <w:p>
            <w:pPr>
              <w:pStyle w:val="style0"/>
              <w:spacing w:lineRule="auto" w:line="480"/>
              <w:rPr>
                <w:rFonts w:cs="Times New Roman"/>
                <w:szCs w:val="24"/>
              </w:rPr>
            </w:pPr>
            <w:r>
              <w:rPr>
                <w:rFonts w:cs="Times New Roman"/>
                <w:szCs w:val="24"/>
              </w:rPr>
              <w:t>29,993</w:t>
            </w:r>
          </w:p>
        </w:tc>
        <w:tc>
          <w:tcPr>
            <w:tcW w:w="2338" w:type="dxa"/>
            <w:tcBorders/>
            <w:tcFitText w:val="false"/>
          </w:tcPr>
          <w:p>
            <w:pPr>
              <w:pStyle w:val="style0"/>
              <w:spacing w:lineRule="auto" w:line="480"/>
              <w:rPr>
                <w:rFonts w:cs="Times New Roman"/>
                <w:szCs w:val="24"/>
              </w:rPr>
            </w:pPr>
            <w:r>
              <w:rPr>
                <w:rFonts w:cs="Times New Roman"/>
                <w:szCs w:val="24"/>
              </w:rPr>
              <w:t>27,290</w:t>
            </w:r>
          </w:p>
        </w:tc>
      </w:tr>
      <w:tr>
        <w:tblPrEx/>
        <w:trPr/>
        <w:tc>
          <w:tcPr>
            <w:tcW w:w="2337" w:type="dxa"/>
            <w:tcBorders/>
            <w:tcFitText w:val="false"/>
          </w:tcPr>
          <w:p>
            <w:pPr>
              <w:pStyle w:val="style0"/>
              <w:spacing w:lineRule="auto" w:line="480"/>
              <w:rPr>
                <w:rFonts w:cs="Times New Roman"/>
                <w:szCs w:val="24"/>
              </w:rPr>
            </w:pPr>
            <w:r>
              <w:rPr>
                <w:rFonts w:cs="Times New Roman"/>
                <w:szCs w:val="24"/>
              </w:rPr>
              <w:t>Total equity</w:t>
            </w:r>
          </w:p>
        </w:tc>
        <w:tc>
          <w:tcPr>
            <w:tcW w:w="2337" w:type="dxa"/>
            <w:tcBorders/>
            <w:tcFitText w:val="false"/>
          </w:tcPr>
          <w:p>
            <w:pPr>
              <w:pStyle w:val="style0"/>
              <w:spacing w:lineRule="auto" w:line="480"/>
              <w:rPr>
                <w:rFonts w:cs="Times New Roman"/>
                <w:szCs w:val="24"/>
              </w:rPr>
            </w:pPr>
            <w:r>
              <w:rPr>
                <w:rFonts w:cs="Times New Roman"/>
                <w:szCs w:val="24"/>
              </w:rPr>
              <w:t>11,833</w:t>
            </w:r>
          </w:p>
        </w:tc>
        <w:tc>
          <w:tcPr>
            <w:tcW w:w="2338" w:type="dxa"/>
            <w:tcBorders/>
            <w:tcFitText w:val="false"/>
          </w:tcPr>
          <w:p>
            <w:pPr>
              <w:pStyle w:val="style0"/>
              <w:spacing w:lineRule="auto" w:line="480"/>
              <w:rPr>
                <w:rFonts w:cs="Times New Roman"/>
                <w:szCs w:val="24"/>
              </w:rPr>
            </w:pPr>
            <w:r>
              <w:rPr>
                <w:rFonts w:cs="Times New Roman"/>
                <w:szCs w:val="24"/>
              </w:rPr>
              <w:t>11,297</w:t>
            </w:r>
          </w:p>
        </w:tc>
        <w:tc>
          <w:tcPr>
            <w:tcW w:w="2338" w:type="dxa"/>
            <w:tcBorders/>
            <w:tcFitText w:val="false"/>
          </w:tcPr>
          <w:p>
            <w:pPr>
              <w:pStyle w:val="style0"/>
              <w:spacing w:lineRule="auto" w:line="480"/>
              <w:rPr>
                <w:rFonts w:cs="Times New Roman"/>
                <w:szCs w:val="24"/>
              </w:rPr>
            </w:pPr>
            <w:r>
              <w:rPr>
                <w:rFonts w:cs="Times New Roman"/>
                <w:szCs w:val="24"/>
              </w:rPr>
              <w:t>11,709</w:t>
            </w:r>
          </w:p>
        </w:tc>
      </w:tr>
      <w:tr>
        <w:tblPrEx/>
        <w:trPr/>
        <w:tc>
          <w:tcPr>
            <w:tcW w:w="2337" w:type="dxa"/>
            <w:tcBorders/>
            <w:tcFitText w:val="false"/>
          </w:tcPr>
          <w:p>
            <w:pPr>
              <w:pStyle w:val="style0"/>
              <w:spacing w:lineRule="auto" w:line="480"/>
              <w:rPr>
                <w:rFonts w:cs="Times New Roman"/>
                <w:szCs w:val="24"/>
              </w:rPr>
            </w:pPr>
            <w:r>
              <w:rPr>
                <w:rFonts w:cs="Times New Roman"/>
                <w:szCs w:val="24"/>
              </w:rPr>
              <w:t>sales</w:t>
            </w:r>
          </w:p>
        </w:tc>
        <w:tc>
          <w:tcPr>
            <w:tcW w:w="2337" w:type="dxa"/>
            <w:tcBorders/>
            <w:tcFitText w:val="false"/>
          </w:tcPr>
          <w:p>
            <w:pPr>
              <w:pStyle w:val="style0"/>
              <w:spacing w:lineRule="auto" w:line="480"/>
              <w:rPr>
                <w:rFonts w:cs="Times New Roman"/>
                <w:szCs w:val="24"/>
              </w:rPr>
            </w:pPr>
            <w:r>
              <w:rPr>
                <w:rFonts w:cs="Times New Roman"/>
                <w:szCs w:val="24"/>
              </w:rPr>
              <w:t>77,130</w:t>
            </w:r>
          </w:p>
        </w:tc>
        <w:tc>
          <w:tcPr>
            <w:tcW w:w="2338" w:type="dxa"/>
            <w:tcBorders/>
            <w:tcFitText w:val="false"/>
          </w:tcPr>
          <w:p>
            <w:pPr>
              <w:pStyle w:val="style0"/>
              <w:spacing w:lineRule="auto" w:line="480"/>
              <w:rPr>
                <w:rFonts w:cs="Times New Roman"/>
                <w:szCs w:val="24"/>
              </w:rPr>
            </w:pPr>
            <w:r>
              <w:rPr>
                <w:rFonts w:cs="Times New Roman"/>
                <w:szCs w:val="24"/>
              </w:rPr>
              <w:t>74,433</w:t>
            </w:r>
          </w:p>
        </w:tc>
        <w:tc>
          <w:tcPr>
            <w:tcW w:w="2338" w:type="dxa"/>
            <w:tcBorders/>
            <w:tcFitText w:val="false"/>
          </w:tcPr>
          <w:p>
            <w:pPr>
              <w:pStyle w:val="style0"/>
              <w:spacing w:lineRule="auto" w:line="480"/>
              <w:rPr>
                <w:rFonts w:cs="Times New Roman"/>
                <w:szCs w:val="24"/>
              </w:rPr>
            </w:pPr>
            <w:r>
              <w:rPr>
                <w:rFonts w:cs="Times New Roman"/>
                <w:szCs w:val="24"/>
              </w:rPr>
              <w:t>71,879</w:t>
            </w:r>
          </w:p>
        </w:tc>
      </w:tr>
      <w:tr>
        <w:tblPrEx/>
        <w:trPr/>
        <w:tc>
          <w:tcPr>
            <w:tcW w:w="2337" w:type="dxa"/>
            <w:tcBorders/>
            <w:tcFitText w:val="false"/>
          </w:tcPr>
          <w:p>
            <w:pPr>
              <w:pStyle w:val="style0"/>
              <w:spacing w:lineRule="auto" w:line="480"/>
              <w:rPr>
                <w:rFonts w:cs="Times New Roman"/>
                <w:szCs w:val="24"/>
              </w:rPr>
            </w:pPr>
            <w:r>
              <w:rPr>
                <w:rFonts w:cs="Times New Roman"/>
                <w:szCs w:val="24"/>
              </w:rPr>
              <w:t>Cost of goods sold</w:t>
            </w:r>
          </w:p>
        </w:tc>
        <w:tc>
          <w:tcPr>
            <w:tcW w:w="2337" w:type="dxa"/>
            <w:tcBorders/>
            <w:tcFitText w:val="false"/>
          </w:tcPr>
          <w:p>
            <w:pPr>
              <w:pStyle w:val="style0"/>
              <w:spacing w:lineRule="auto" w:line="480"/>
              <w:rPr>
                <w:rFonts w:cs="Times New Roman"/>
                <w:szCs w:val="24"/>
              </w:rPr>
            </w:pPr>
            <w:r>
              <w:rPr>
                <w:rFonts w:cs="Times New Roman"/>
                <w:szCs w:val="24"/>
              </w:rPr>
              <w:t>54,864</w:t>
            </w:r>
          </w:p>
        </w:tc>
        <w:tc>
          <w:tcPr>
            <w:tcW w:w="2338" w:type="dxa"/>
            <w:tcBorders/>
            <w:tcFitText w:val="false"/>
          </w:tcPr>
          <w:p>
            <w:pPr>
              <w:pStyle w:val="style0"/>
              <w:spacing w:lineRule="auto" w:line="480"/>
              <w:rPr>
                <w:rFonts w:cs="Times New Roman"/>
                <w:szCs w:val="24"/>
              </w:rPr>
            </w:pPr>
            <w:r>
              <w:rPr>
                <w:rFonts w:cs="Times New Roman"/>
                <w:szCs w:val="24"/>
              </w:rPr>
              <w:t>53,299</w:t>
            </w:r>
          </w:p>
        </w:tc>
        <w:tc>
          <w:tcPr>
            <w:tcW w:w="2338" w:type="dxa"/>
            <w:tcBorders/>
            <w:tcFitText w:val="false"/>
          </w:tcPr>
          <w:p>
            <w:pPr>
              <w:pStyle w:val="style0"/>
              <w:spacing w:lineRule="auto" w:line="480"/>
              <w:rPr>
                <w:rFonts w:cs="Times New Roman"/>
                <w:szCs w:val="24"/>
              </w:rPr>
            </w:pPr>
            <w:r>
              <w:rPr>
                <w:rFonts w:cs="Times New Roman"/>
                <w:szCs w:val="24"/>
              </w:rPr>
              <w:t>51,125</w:t>
            </w:r>
          </w:p>
        </w:tc>
      </w:tr>
      <w:tr>
        <w:tblPrEx/>
        <w:trPr/>
        <w:tc>
          <w:tcPr>
            <w:tcW w:w="2337" w:type="dxa"/>
            <w:tcBorders/>
            <w:tcFitText w:val="false"/>
          </w:tcPr>
          <w:p>
            <w:pPr>
              <w:pStyle w:val="style0"/>
              <w:spacing w:lineRule="auto" w:line="480"/>
              <w:rPr>
                <w:rFonts w:cs="Times New Roman"/>
                <w:szCs w:val="24"/>
              </w:rPr>
            </w:pPr>
            <w:r>
              <w:rPr>
                <w:rFonts w:cs="Times New Roman"/>
                <w:szCs w:val="24"/>
              </w:rPr>
              <w:t>Operating income</w:t>
            </w:r>
          </w:p>
        </w:tc>
        <w:tc>
          <w:tcPr>
            <w:tcW w:w="2337" w:type="dxa"/>
            <w:tcBorders/>
            <w:tcFitText w:val="false"/>
          </w:tcPr>
          <w:p>
            <w:pPr>
              <w:pStyle w:val="style0"/>
              <w:spacing w:lineRule="auto" w:line="480"/>
              <w:rPr>
                <w:rFonts w:cs="Times New Roman"/>
                <w:szCs w:val="24"/>
              </w:rPr>
            </w:pPr>
            <w:r>
              <w:rPr>
                <w:rFonts w:cs="Times New Roman"/>
                <w:szCs w:val="24"/>
              </w:rPr>
              <w:t>4,190</w:t>
            </w:r>
          </w:p>
        </w:tc>
        <w:tc>
          <w:tcPr>
            <w:tcW w:w="2338" w:type="dxa"/>
            <w:tcBorders/>
            <w:tcFitText w:val="false"/>
          </w:tcPr>
          <w:p>
            <w:pPr>
              <w:pStyle w:val="style0"/>
              <w:spacing w:lineRule="auto" w:line="480"/>
              <w:rPr>
                <w:rFonts w:cs="Times New Roman"/>
                <w:szCs w:val="24"/>
              </w:rPr>
            </w:pPr>
            <w:r>
              <w:rPr>
                <w:rFonts w:cs="Times New Roman"/>
                <w:szCs w:val="24"/>
              </w:rPr>
              <w:t>3,676</w:t>
            </w:r>
          </w:p>
        </w:tc>
        <w:tc>
          <w:tcPr>
            <w:tcW w:w="2338" w:type="dxa"/>
            <w:tcBorders/>
            <w:tcFitText w:val="false"/>
          </w:tcPr>
          <w:p>
            <w:pPr>
              <w:pStyle w:val="style0"/>
              <w:spacing w:lineRule="auto" w:line="480"/>
              <w:rPr>
                <w:rFonts w:cs="Times New Roman"/>
                <w:szCs w:val="24"/>
              </w:rPr>
            </w:pPr>
            <w:r>
              <w:rPr>
                <w:rFonts w:cs="Times New Roman"/>
                <w:szCs w:val="24"/>
              </w:rPr>
              <w:t>3,646</w:t>
            </w:r>
          </w:p>
        </w:tc>
      </w:tr>
      <w:tr>
        <w:tblPrEx/>
        <w:trPr/>
        <w:tc>
          <w:tcPr>
            <w:tcW w:w="2337" w:type="dxa"/>
            <w:tcBorders/>
            <w:tcFitText w:val="false"/>
          </w:tcPr>
          <w:p>
            <w:pPr>
              <w:pStyle w:val="style0"/>
              <w:spacing w:lineRule="auto" w:line="480"/>
              <w:rPr>
                <w:rFonts w:cs="Times New Roman"/>
                <w:szCs w:val="24"/>
              </w:rPr>
            </w:pPr>
            <w:r>
              <w:rPr>
                <w:rFonts w:cs="Times New Roman"/>
                <w:szCs w:val="24"/>
              </w:rPr>
              <w:t>Income tax</w:t>
            </w:r>
          </w:p>
        </w:tc>
        <w:tc>
          <w:tcPr>
            <w:tcW w:w="2337" w:type="dxa"/>
            <w:tcBorders/>
            <w:tcFitText w:val="false"/>
          </w:tcPr>
          <w:p>
            <w:pPr>
              <w:pStyle w:val="style0"/>
              <w:spacing w:lineRule="auto" w:line="480"/>
              <w:rPr>
                <w:rFonts w:cs="Times New Roman"/>
                <w:szCs w:val="24"/>
              </w:rPr>
            </w:pPr>
            <w:r>
              <w:rPr>
                <w:rFonts w:cs="Times New Roman"/>
                <w:szCs w:val="24"/>
              </w:rPr>
              <w:t>921</w:t>
            </w:r>
          </w:p>
        </w:tc>
        <w:tc>
          <w:tcPr>
            <w:tcW w:w="2338" w:type="dxa"/>
            <w:tcBorders/>
            <w:tcFitText w:val="false"/>
          </w:tcPr>
          <w:p>
            <w:pPr>
              <w:pStyle w:val="style0"/>
              <w:spacing w:lineRule="auto" w:line="480"/>
              <w:rPr>
                <w:rFonts w:cs="Times New Roman"/>
                <w:szCs w:val="24"/>
              </w:rPr>
            </w:pPr>
            <w:r>
              <w:rPr>
                <w:rFonts w:cs="Times New Roman"/>
                <w:szCs w:val="24"/>
              </w:rPr>
              <w:t>746</w:t>
            </w:r>
          </w:p>
        </w:tc>
        <w:tc>
          <w:tcPr>
            <w:tcW w:w="2338" w:type="dxa"/>
            <w:tcBorders/>
            <w:tcFitText w:val="false"/>
          </w:tcPr>
          <w:p>
            <w:pPr>
              <w:pStyle w:val="style0"/>
              <w:spacing w:lineRule="auto" w:line="480"/>
              <w:rPr>
                <w:rFonts w:cs="Times New Roman"/>
                <w:szCs w:val="24"/>
              </w:rPr>
            </w:pPr>
            <w:r>
              <w:rPr>
                <w:rFonts w:cs="Times New Roman"/>
                <w:szCs w:val="24"/>
              </w:rPr>
              <w:t>718</w:t>
            </w:r>
          </w:p>
        </w:tc>
      </w:tr>
      <w:tr>
        <w:tblPrEx/>
        <w:trPr/>
        <w:tc>
          <w:tcPr>
            <w:tcW w:w="2337" w:type="dxa"/>
            <w:tcBorders/>
            <w:tcFitText w:val="false"/>
          </w:tcPr>
          <w:p>
            <w:pPr>
              <w:pStyle w:val="style0"/>
              <w:spacing w:lineRule="auto" w:line="480"/>
              <w:rPr>
                <w:rFonts w:cs="Times New Roman"/>
                <w:szCs w:val="24"/>
              </w:rPr>
            </w:pPr>
            <w:r>
              <w:rPr>
                <w:rFonts w:cs="Times New Roman"/>
                <w:szCs w:val="24"/>
              </w:rPr>
              <w:t>Net income</w:t>
            </w:r>
          </w:p>
        </w:tc>
        <w:tc>
          <w:tcPr>
            <w:tcW w:w="2337" w:type="dxa"/>
            <w:tcBorders/>
            <w:tcFitText w:val="false"/>
          </w:tcPr>
          <w:p>
            <w:pPr>
              <w:pStyle w:val="style0"/>
              <w:spacing w:lineRule="auto" w:line="480"/>
              <w:rPr>
                <w:rFonts w:cs="Times New Roman"/>
                <w:szCs w:val="24"/>
              </w:rPr>
            </w:pPr>
            <w:r>
              <w:rPr>
                <w:rFonts w:cs="Times New Roman"/>
                <w:szCs w:val="24"/>
              </w:rPr>
              <w:t>3269</w:t>
            </w:r>
          </w:p>
        </w:tc>
        <w:tc>
          <w:tcPr>
            <w:tcW w:w="2338" w:type="dxa"/>
            <w:tcBorders/>
            <w:tcFitText w:val="false"/>
          </w:tcPr>
          <w:p>
            <w:pPr>
              <w:pStyle w:val="style0"/>
              <w:spacing w:lineRule="auto" w:line="480"/>
              <w:rPr>
                <w:rFonts w:cs="Times New Roman"/>
                <w:szCs w:val="24"/>
              </w:rPr>
            </w:pPr>
            <w:r>
              <w:rPr>
                <w:rFonts w:cs="Times New Roman"/>
                <w:szCs w:val="24"/>
              </w:rPr>
              <w:t>2930</w:t>
            </w:r>
          </w:p>
        </w:tc>
        <w:tc>
          <w:tcPr>
            <w:tcW w:w="2338" w:type="dxa"/>
            <w:tcBorders/>
            <w:tcFitText w:val="false"/>
          </w:tcPr>
          <w:p>
            <w:pPr>
              <w:pStyle w:val="style0"/>
              <w:spacing w:lineRule="auto" w:line="480"/>
              <w:rPr>
                <w:rFonts w:cs="Times New Roman"/>
                <w:szCs w:val="24"/>
              </w:rPr>
            </w:pPr>
            <w:r>
              <w:rPr>
                <w:rFonts w:cs="Times New Roman"/>
                <w:szCs w:val="24"/>
              </w:rPr>
              <w:t>2928</w:t>
            </w:r>
          </w:p>
        </w:tc>
      </w:tr>
    </w:tbl>
    <w:p>
      <w:pPr>
        <w:pStyle w:val="style0"/>
        <w:spacing w:lineRule="auto" w:line="480"/>
        <w:rPr>
          <w:rFonts w:cs="Times New Roman"/>
          <w:szCs w:val="24"/>
        </w:rPr>
      </w:pPr>
      <w:r>
        <w:rPr>
          <w:rFonts w:cs="Times New Roman"/>
          <w:szCs w:val="24"/>
        </w:rPr>
        <w:t>Profitability Ratios of Target Corporation</w:t>
      </w:r>
    </w:p>
    <w:p>
      <w:pPr>
        <w:pStyle w:val="style0"/>
        <w:spacing w:lineRule="auto" w:line="480"/>
        <w:rPr>
          <w:rFonts w:cs="Times New Roman"/>
          <w:szCs w:val="24"/>
        </w:rPr>
      </w:pPr>
      <w:r>
        <w:rPr>
          <w:rFonts w:cs="Times New Roman"/>
          <w:szCs w:val="24"/>
        </w:rPr>
        <w:t xml:space="preserve">Profitability ratios ROE is </w:t>
      </w:r>
      <w:r>
        <w:rPr>
          <w:rFonts w:cs="Times New Roman"/>
          <w:szCs w:val="24"/>
        </w:rPr>
        <w:t>calculated as net income divided by shareholders equity in this case</w:t>
      </w:r>
    </w:p>
    <w:p>
      <w:pPr>
        <w:pStyle w:val="style0"/>
        <w:spacing w:lineRule="auto" w:line="480"/>
        <w:rPr>
          <w:rFonts w:cs="Times New Roman"/>
          <w:szCs w:val="24"/>
        </w:rPr>
      </w:pPr>
      <w:r>
        <w:rPr>
          <w:rFonts w:cs="Times New Roman"/>
          <w:szCs w:val="24"/>
        </w:rPr>
        <w:t xml:space="preserve">The </w:t>
      </w:r>
      <w:r>
        <w:rPr>
          <w:rFonts w:cs="Times New Roman"/>
          <w:szCs w:val="24"/>
        </w:rPr>
        <w:t>Year 2018</w:t>
      </w:r>
    </w:p>
    <w:p>
      <w:pPr>
        <w:pStyle w:val="style0"/>
        <w:spacing w:lineRule="auto" w:line="480"/>
        <w:rPr>
          <w:rFonts w:cs="Times New Roman"/>
          <w:szCs w:val="24"/>
        </w:rPr>
      </w:pPr>
      <w:r>
        <w:rPr>
          <w:rFonts w:cs="Times New Roman"/>
          <w:szCs w:val="24"/>
        </w:rPr>
        <w:t>2928/11,709*100 = 25.06%</w:t>
      </w:r>
    </w:p>
    <w:p>
      <w:pPr>
        <w:pStyle w:val="style0"/>
        <w:spacing w:lineRule="auto" w:line="480"/>
        <w:rPr>
          <w:rFonts w:cs="Times New Roman"/>
          <w:szCs w:val="24"/>
        </w:rPr>
      </w:pPr>
      <w:r>
        <w:rPr>
          <w:rFonts w:cs="Times New Roman"/>
          <w:szCs w:val="24"/>
        </w:rPr>
        <w:t xml:space="preserve">      </w:t>
      </w:r>
      <w:r>
        <w:rPr>
          <w:rFonts w:cs="Times New Roman"/>
          <w:szCs w:val="24"/>
        </w:rPr>
        <w:t xml:space="preserve">Return on asset </w:t>
      </w:r>
      <w:r>
        <w:rPr>
          <w:rFonts w:cs="Times New Roman"/>
          <w:szCs w:val="24"/>
        </w:rPr>
        <w:t>is calculated as net income divided by total assets</w:t>
      </w:r>
    </w:p>
    <w:p>
      <w:pPr>
        <w:pStyle w:val="style0"/>
        <w:spacing w:lineRule="auto" w:line="480"/>
        <w:rPr>
          <w:rFonts w:cs="Times New Roman"/>
          <w:szCs w:val="24"/>
        </w:rPr>
      </w:pPr>
      <w:r>
        <w:rPr>
          <w:rFonts w:cs="Times New Roman"/>
          <w:szCs w:val="24"/>
        </w:rPr>
        <w:t>2928/3899</w:t>
      </w:r>
      <w:r>
        <w:rPr>
          <w:rFonts w:cs="Times New Roman"/>
          <w:szCs w:val="24"/>
        </w:rPr>
        <w:t>9 * 100 = 7.50%</w:t>
      </w:r>
    </w:p>
    <w:p>
      <w:pPr>
        <w:pStyle w:val="style0"/>
        <w:spacing w:lineRule="auto" w:line="480"/>
        <w:rPr>
          <w:rFonts w:cs="Times New Roman"/>
          <w:szCs w:val="24"/>
        </w:rPr>
      </w:pPr>
      <w:r>
        <w:rPr>
          <w:rFonts w:cs="Times New Roman"/>
          <w:szCs w:val="24"/>
        </w:rPr>
        <w:t xml:space="preserve">     </w:t>
      </w:r>
      <w:r>
        <w:rPr>
          <w:rFonts w:cs="Times New Roman"/>
          <w:szCs w:val="24"/>
        </w:rPr>
        <w:t xml:space="preserve">Net profit margin is calculated by diiding net </w:t>
      </w:r>
      <w:r>
        <w:rPr>
          <w:rFonts w:cs="Times New Roman"/>
          <w:szCs w:val="24"/>
        </w:rPr>
        <w:t>income with its revenue</w:t>
      </w:r>
    </w:p>
    <w:p>
      <w:pPr>
        <w:pStyle w:val="style0"/>
        <w:spacing w:lineRule="auto" w:line="480"/>
        <w:rPr>
          <w:rFonts w:cs="Times New Roman"/>
          <w:szCs w:val="24"/>
        </w:rPr>
      </w:pPr>
      <w:r>
        <w:rPr>
          <w:rFonts w:cs="Times New Roman"/>
          <w:szCs w:val="24"/>
        </w:rPr>
        <w:t xml:space="preserve">2928/71,879 *100 = 4.07% </w:t>
      </w:r>
    </w:p>
    <w:p>
      <w:pPr>
        <w:pStyle w:val="style0"/>
        <w:spacing w:lineRule="auto" w:line="480"/>
        <w:rPr>
          <w:rFonts w:cs="Times New Roman"/>
          <w:szCs w:val="24"/>
        </w:rPr>
      </w:pPr>
      <w:r>
        <w:rPr>
          <w:rFonts w:cs="Times New Roman"/>
          <w:szCs w:val="24"/>
        </w:rPr>
        <w:t xml:space="preserve">The </w:t>
      </w:r>
      <w:r>
        <w:rPr>
          <w:rFonts w:cs="Times New Roman"/>
          <w:szCs w:val="24"/>
        </w:rPr>
        <w:t xml:space="preserve">Year 2019 </w:t>
      </w:r>
    </w:p>
    <w:p>
      <w:pPr>
        <w:pStyle w:val="style0"/>
        <w:spacing w:lineRule="auto" w:line="480"/>
        <w:rPr>
          <w:rFonts w:cs="Times New Roman"/>
          <w:szCs w:val="24"/>
        </w:rPr>
      </w:pPr>
      <w:r>
        <w:rPr>
          <w:rFonts w:cs="Times New Roman"/>
          <w:szCs w:val="24"/>
        </w:rPr>
        <w:t>ROE = 2930/ 11,297 * 100 = 25.9%</w:t>
      </w:r>
    </w:p>
    <w:p>
      <w:pPr>
        <w:pStyle w:val="style0"/>
        <w:spacing w:lineRule="auto" w:line="480"/>
        <w:rPr>
          <w:rFonts w:cs="Times New Roman"/>
          <w:szCs w:val="24"/>
        </w:rPr>
      </w:pPr>
      <w:r>
        <w:rPr>
          <w:rFonts w:cs="Times New Roman"/>
          <w:szCs w:val="24"/>
        </w:rPr>
        <w:t xml:space="preserve">ROA = </w:t>
      </w:r>
      <w:r>
        <w:rPr>
          <w:rFonts w:cs="Times New Roman"/>
          <w:szCs w:val="24"/>
        </w:rPr>
        <w:t>2930/ 41,290 * 100 = 7.09%</w:t>
      </w:r>
    </w:p>
    <w:p>
      <w:pPr>
        <w:pStyle w:val="style0"/>
        <w:spacing w:lineRule="auto" w:line="480"/>
        <w:rPr>
          <w:rFonts w:cs="Times New Roman"/>
          <w:szCs w:val="24"/>
        </w:rPr>
      </w:pPr>
      <w:r>
        <w:rPr>
          <w:rFonts w:cs="Times New Roman"/>
          <w:szCs w:val="24"/>
        </w:rPr>
        <w:t>Net profit margin = 2930/ 74,433*100 = 3.94%</w:t>
      </w:r>
    </w:p>
    <w:p>
      <w:pPr>
        <w:pStyle w:val="style0"/>
        <w:spacing w:lineRule="auto" w:line="480"/>
        <w:rPr>
          <w:rFonts w:cs="Times New Roman"/>
          <w:szCs w:val="24"/>
        </w:rPr>
      </w:pPr>
      <w:r>
        <w:rPr>
          <w:rFonts w:cs="Times New Roman"/>
          <w:szCs w:val="24"/>
        </w:rPr>
        <w:t xml:space="preserve">The </w:t>
      </w:r>
      <w:r>
        <w:rPr>
          <w:rFonts w:cs="Times New Roman"/>
          <w:szCs w:val="24"/>
        </w:rPr>
        <w:t>Year 2020</w:t>
      </w:r>
    </w:p>
    <w:p>
      <w:pPr>
        <w:pStyle w:val="style0"/>
        <w:spacing w:lineRule="auto" w:line="480"/>
        <w:rPr>
          <w:rFonts w:cs="Times New Roman"/>
          <w:szCs w:val="24"/>
        </w:rPr>
      </w:pPr>
      <w:r>
        <w:rPr>
          <w:rFonts w:cs="Times New Roman"/>
          <w:szCs w:val="24"/>
        </w:rPr>
        <w:t>ROE = 3269/11,833 * 100 = 27.62%</w:t>
      </w:r>
    </w:p>
    <w:p>
      <w:pPr>
        <w:pStyle w:val="style0"/>
        <w:spacing w:lineRule="auto" w:line="480"/>
        <w:rPr>
          <w:rFonts w:cs="Times New Roman"/>
          <w:szCs w:val="24"/>
        </w:rPr>
      </w:pPr>
      <w:r>
        <w:rPr>
          <w:rFonts w:cs="Times New Roman"/>
          <w:szCs w:val="24"/>
        </w:rPr>
        <w:t xml:space="preserve">ROA =3269/42,779 *100 = </w:t>
      </w:r>
      <w:r>
        <w:rPr>
          <w:rFonts w:cs="Times New Roman"/>
          <w:szCs w:val="24"/>
        </w:rPr>
        <w:t>7.64%</w:t>
      </w:r>
    </w:p>
    <w:p>
      <w:pPr>
        <w:pStyle w:val="style0"/>
        <w:spacing w:lineRule="auto" w:line="480"/>
        <w:rPr>
          <w:rFonts w:cs="Times New Roman"/>
          <w:szCs w:val="24"/>
        </w:rPr>
      </w:pPr>
      <w:r>
        <w:rPr>
          <w:rFonts w:cs="Times New Roman"/>
          <w:szCs w:val="24"/>
        </w:rPr>
        <w:t xml:space="preserve">Net profit </w:t>
      </w:r>
      <w:r>
        <w:rPr>
          <w:rFonts w:cs="Times New Roman"/>
          <w:szCs w:val="24"/>
        </w:rPr>
        <w:t>margin = 3269/77,130 * 100 = 4.24%</w:t>
      </w:r>
    </w:p>
    <w:p>
      <w:pPr>
        <w:pStyle w:val="style0"/>
        <w:spacing w:lineRule="auto" w:line="480"/>
        <w:rPr>
          <w:rFonts w:cs="Times New Roman"/>
          <w:szCs w:val="24"/>
        </w:rPr>
      </w:pPr>
    </w:p>
    <w:p>
      <w:pPr>
        <w:pStyle w:val="style0"/>
        <w:spacing w:lineRule="auto" w:line="480"/>
        <w:rPr>
          <w:rFonts w:cs="Times New Roman"/>
          <w:szCs w:val="24"/>
        </w:rPr>
      </w:pPr>
    </w:p>
    <w:p>
      <w:pPr>
        <w:pStyle w:val="style0"/>
        <w:spacing w:lineRule="auto" w:line="480"/>
        <w:rPr>
          <w:rFonts w:cs="Times New Roman"/>
          <w:szCs w:val="24"/>
        </w:rPr>
      </w:pPr>
    </w:p>
    <w:p>
      <w:pPr>
        <w:pStyle w:val="style0"/>
        <w:spacing w:lineRule="auto" w:line="480"/>
        <w:rPr>
          <w:rFonts w:cs="Times New Roman"/>
          <w:szCs w:val="24"/>
        </w:rPr>
      </w:pPr>
      <w:r>
        <w:rPr>
          <w:rFonts w:cs="Times New Roman"/>
          <w:szCs w:val="24"/>
        </w:rPr>
        <w:t xml:space="preserve">Table 1: profitability ratios </w:t>
      </w:r>
    </w:p>
    <w:tbl>
      <w:tblPr>
        <w:tblW w:w="0" w:type="auto"/>
        <w:tblLook w:val="04A0" w:firstRow="1" w:lastRow="0" w:firstColumn="1" w:lastColumn="0" w:noHBand="0" w:noVBand="1"/>
      </w:tblPr>
      <w:tblGrid>
        <w:gridCol w:w="1830"/>
        <w:gridCol w:w="1795"/>
        <w:gridCol w:w="1795"/>
        <w:gridCol w:w="1795"/>
      </w:tblGrid>
      <w:tr>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Ratio/Year</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2020</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2019</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2018</w:t>
            </w:r>
          </w:p>
        </w:tc>
      </w:tr>
      <w:tr>
        <w:tblPrEx/>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Return on Equity</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27.73%</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25.9</w:t>
            </w:r>
            <w:r>
              <w:rPr>
                <w:rFonts w:cs="Times New Roman"/>
                <w:szCs w:val="24"/>
              </w:rPr>
              <w:t>%</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25.06</w:t>
            </w:r>
            <w:r>
              <w:rPr>
                <w:rFonts w:cs="Times New Roman"/>
                <w:szCs w:val="24"/>
              </w:rPr>
              <w:t>%</w:t>
            </w:r>
          </w:p>
        </w:tc>
      </w:tr>
      <w:tr>
        <w:tblPrEx/>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Return on Assets</w:t>
            </w:r>
          </w:p>
        </w:tc>
        <w:tc>
          <w:tcPr>
            <w:tcW w:w="1795" w:type="dxa"/>
            <w:tcBorders>
              <w:top w:val="single" w:sz="4" w:space="0" w:color="auto"/>
              <w:left w:val="single" w:sz="4" w:space="0" w:color="auto"/>
              <w:bottom w:val="single" w:sz="4" w:space="0" w:color="auto"/>
              <w:right w:val="single" w:sz="4" w:space="0" w:color="auto"/>
            </w:tcBorders>
            <w:tcFitText w:val="false"/>
            <w:vAlign w:val="bottom"/>
          </w:tcPr>
          <w:p>
            <w:pPr>
              <w:pStyle w:val="style0"/>
              <w:spacing w:lineRule="auto" w:line="480"/>
              <w:rPr>
                <w:rFonts w:cs="Times New Roman"/>
                <w:szCs w:val="24"/>
              </w:rPr>
            </w:pPr>
            <w:r>
              <w:rPr>
                <w:rFonts w:cs="Times New Roman"/>
                <w:szCs w:val="24"/>
              </w:rPr>
              <w:t>7.64</w:t>
            </w:r>
            <w:r>
              <w:rPr>
                <w:rFonts w:cs="Times New Roman"/>
                <w:szCs w:val="24"/>
              </w:rPr>
              <w:t>%</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7.09</w:t>
            </w:r>
            <w:r>
              <w:rPr>
                <w:rFonts w:cs="Times New Roman"/>
                <w:szCs w:val="24"/>
              </w:rPr>
              <w:t>%</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7.50</w:t>
            </w:r>
            <w:r>
              <w:rPr>
                <w:rFonts w:cs="Times New Roman"/>
                <w:szCs w:val="24"/>
              </w:rPr>
              <w:t>%</w:t>
            </w:r>
          </w:p>
        </w:tc>
      </w:tr>
      <w:tr>
        <w:tblPrEx/>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Net p</w:t>
            </w:r>
            <w:r>
              <w:rPr>
                <w:rFonts w:cs="Times New Roman"/>
                <w:szCs w:val="24"/>
              </w:rPr>
              <w:t>rofit margin</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4.24</w:t>
            </w:r>
            <w:r>
              <w:rPr>
                <w:rFonts w:cs="Times New Roman"/>
                <w:szCs w:val="24"/>
              </w:rPr>
              <w:t>%</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3.94</w:t>
            </w:r>
            <w:r>
              <w:rPr>
                <w:rFonts w:cs="Times New Roman"/>
                <w:szCs w:val="24"/>
              </w:rPr>
              <w:t>%</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4.07</w:t>
            </w:r>
            <w:r>
              <w:rPr>
                <w:rFonts w:cs="Times New Roman"/>
                <w:szCs w:val="24"/>
              </w:rPr>
              <w:t>%</w:t>
            </w:r>
          </w:p>
        </w:tc>
      </w:tr>
    </w:tbl>
    <w:p>
      <w:pPr>
        <w:pStyle w:val="style0"/>
        <w:spacing w:lineRule="auto" w:line="480"/>
        <w:rPr>
          <w:rFonts w:cs="Times New Roman"/>
          <w:szCs w:val="24"/>
        </w:rPr>
      </w:pPr>
    </w:p>
    <w:p>
      <w:pPr>
        <w:pStyle w:val="style0"/>
        <w:spacing w:lineRule="auto" w:line="480"/>
        <w:ind w:firstLine="720"/>
        <w:rPr>
          <w:rFonts w:cs="Times New Roman"/>
          <w:szCs w:val="24"/>
        </w:rPr>
      </w:pPr>
      <w:r>
        <w:rPr>
          <w:rFonts w:cs="Times New Roman"/>
          <w:szCs w:val="24"/>
        </w:rPr>
        <w:t>Return on equity measures the profit made on a</w:t>
      </w:r>
      <w:r>
        <w:rPr>
          <w:rFonts w:cs="Times New Roman"/>
          <w:szCs w:val="24"/>
        </w:rPr>
        <w:t xml:space="preserve">n </w:t>
      </w:r>
      <w:r>
        <w:rPr>
          <w:rFonts w:cs="Times New Roman"/>
          <w:szCs w:val="24"/>
        </w:rPr>
        <w:t>investor's contributions. 2018 the return on equity is 25.06%</w:t>
      </w:r>
      <w:r>
        <w:rPr>
          <w:rFonts w:cs="Times New Roman"/>
          <w:szCs w:val="24"/>
        </w:rPr>
        <w:t xml:space="preserve"> showing the low net</w:t>
      </w:r>
      <w:r>
        <w:rPr>
          <w:rFonts w:cs="Times New Roman"/>
          <w:szCs w:val="24"/>
        </w:rPr>
        <w:t xml:space="preserve"> income, then it increases to 25.9%% and 27.73</w:t>
      </w:r>
      <w:r>
        <w:rPr>
          <w:rFonts w:cs="Times New Roman"/>
          <w:szCs w:val="24"/>
        </w:rPr>
        <w:t>%, respectively, in the year 2018 and 2019, showing a good return on investor's investments. Return on assets calculates how much</w:t>
      </w:r>
      <w:r>
        <w:rPr>
          <w:rFonts w:cs="Times New Roman"/>
          <w:szCs w:val="24"/>
        </w:rPr>
        <w:t xml:space="preserve"> profit the company makes using its asse</w:t>
      </w:r>
      <w:r>
        <w:rPr>
          <w:rFonts w:cs="Times New Roman"/>
          <w:szCs w:val="24"/>
        </w:rPr>
        <w:t>ts. The return on assets of 2018 is 7.50% later, falls to 7.09% in 2019</w:t>
      </w:r>
      <w:r>
        <w:rPr>
          <w:rFonts w:cs="Times New Roman"/>
          <w:szCs w:val="24"/>
        </w:rPr>
        <w:t xml:space="preserve"> due to low net in</w:t>
      </w:r>
      <w:r>
        <w:rPr>
          <w:rFonts w:cs="Times New Roman"/>
          <w:szCs w:val="24"/>
        </w:rPr>
        <w:t xml:space="preserve">come and later </w:t>
      </w:r>
      <w:r>
        <w:rPr>
          <w:rFonts w:cs="Times New Roman"/>
          <w:szCs w:val="24"/>
        </w:rPr>
        <w:t>increased to</w:t>
      </w:r>
      <w:r>
        <w:rPr>
          <w:rFonts w:cs="Times New Roman"/>
          <w:szCs w:val="24"/>
        </w:rPr>
        <w:t xml:space="preserve"> 7.64%</w:t>
      </w:r>
      <w:r>
        <w:rPr>
          <w:rFonts w:cs="Times New Roman"/>
          <w:szCs w:val="24"/>
        </w:rPr>
        <w:t xml:space="preserve"> respecti</w:t>
      </w:r>
      <w:r>
        <w:rPr>
          <w:rFonts w:cs="Times New Roman"/>
          <w:szCs w:val="24"/>
        </w:rPr>
        <w:t>vely, in the year 2020</w:t>
      </w:r>
    </w:p>
    <w:p>
      <w:pPr>
        <w:pStyle w:val="style0"/>
        <w:spacing w:lineRule="auto" w:line="480"/>
        <w:rPr>
          <w:rFonts w:cs="Times New Roman"/>
          <w:szCs w:val="24"/>
        </w:rPr>
      </w:pPr>
      <w:r>
        <w:rPr>
          <w:rFonts w:cs="Times New Roman"/>
          <w:szCs w:val="24"/>
        </w:rPr>
        <w:t>Liquidity Ratios of Target Corporation</w:t>
      </w:r>
    </w:p>
    <w:p>
      <w:pPr>
        <w:pStyle w:val="style0"/>
        <w:spacing w:lineRule="auto" w:line="480"/>
        <w:rPr>
          <w:rFonts w:cs="Times New Roman"/>
          <w:szCs w:val="24"/>
        </w:rPr>
      </w:pPr>
      <w:r>
        <w:rPr>
          <w:rFonts w:cs="Times New Roman"/>
          <w:szCs w:val="24"/>
        </w:rPr>
        <w:t>In the year 2018</w:t>
      </w:r>
      <w:r>
        <w:rPr>
          <w:rFonts w:cs="Times New Roman"/>
          <w:szCs w:val="24"/>
        </w:rPr>
        <w:t>, the C</w:t>
      </w:r>
      <w:r>
        <w:rPr>
          <w:rFonts w:cs="Times New Roman"/>
          <w:szCs w:val="24"/>
        </w:rPr>
        <w:t>urrent ratio is calculated using.</w:t>
      </w:r>
    </w:p>
    <w:p>
      <w:pPr>
        <w:pStyle w:val="style0"/>
        <w:spacing w:lineRule="auto" w:line="480"/>
        <w:rPr>
          <w:rFonts w:cs="Times New Roman"/>
          <w:szCs w:val="24"/>
        </w:rPr>
      </w:pPr>
      <w:r>
        <w:rPr>
          <w:rFonts w:cs="Times New Roman"/>
          <w:szCs w:val="24"/>
        </w:rPr>
        <w:t>Current asset/</w:t>
      </w:r>
      <w:r>
        <w:rPr>
          <w:rFonts w:cs="Times New Roman"/>
          <w:szCs w:val="24"/>
        </w:rPr>
        <w:t>current liabilities = 12,564/13,201 =0.95</w:t>
      </w:r>
    </w:p>
    <w:p>
      <w:pPr>
        <w:pStyle w:val="style0"/>
        <w:spacing w:lineRule="auto" w:line="480"/>
        <w:rPr>
          <w:rFonts w:cs="Times New Roman"/>
          <w:szCs w:val="24"/>
        </w:rPr>
      </w:pPr>
      <w:r>
        <w:rPr>
          <w:rFonts w:cs="Times New Roman"/>
          <w:szCs w:val="24"/>
        </w:rPr>
        <w:t xml:space="preserve">Quick acid test </w:t>
      </w:r>
    </w:p>
    <w:p>
      <w:pPr>
        <w:pStyle w:val="style0"/>
        <w:spacing w:lineRule="auto" w:line="480"/>
        <w:rPr>
          <w:rFonts w:cs="Times New Roman"/>
          <w:szCs w:val="24"/>
        </w:rPr>
      </w:pPr>
      <w:r>
        <w:rPr>
          <w:rFonts w:cs="Times New Roman"/>
          <w:szCs w:val="24"/>
        </w:rPr>
        <w:t>Current asset - inventory/</w:t>
      </w:r>
      <w:r>
        <w:rPr>
          <w:rFonts w:cs="Times New Roman"/>
          <w:szCs w:val="24"/>
        </w:rPr>
        <w:t>current liabilities = 12,564</w:t>
      </w:r>
      <w:r>
        <w:rPr>
          <w:rFonts w:cs="Times New Roman"/>
          <w:szCs w:val="24"/>
        </w:rPr>
        <w:t>-</w:t>
      </w:r>
      <w:r>
        <w:rPr>
          <w:rFonts w:cs="Times New Roman"/>
          <w:szCs w:val="24"/>
        </w:rPr>
        <w:t>8,657/13,201= 0.29</w:t>
      </w:r>
    </w:p>
    <w:p>
      <w:pPr>
        <w:pStyle w:val="style0"/>
        <w:spacing w:lineRule="auto" w:line="480"/>
        <w:rPr>
          <w:rFonts w:cs="Times New Roman"/>
          <w:szCs w:val="24"/>
        </w:rPr>
      </w:pPr>
      <w:r>
        <w:rPr>
          <w:rFonts w:cs="Times New Roman"/>
          <w:szCs w:val="24"/>
        </w:rPr>
        <w:t xml:space="preserve">The </w:t>
      </w:r>
      <w:r>
        <w:rPr>
          <w:rFonts w:cs="Times New Roman"/>
          <w:szCs w:val="24"/>
        </w:rPr>
        <w:t>Year 2019</w:t>
      </w:r>
    </w:p>
    <w:p>
      <w:pPr>
        <w:pStyle w:val="style0"/>
        <w:spacing w:lineRule="auto" w:line="480"/>
        <w:rPr>
          <w:rFonts w:cs="Times New Roman"/>
          <w:szCs w:val="24"/>
        </w:rPr>
      </w:pPr>
      <w:r>
        <w:rPr>
          <w:rFonts w:cs="Times New Roman"/>
          <w:szCs w:val="24"/>
        </w:rPr>
        <w:t xml:space="preserve">Current ratio = current assets </w:t>
      </w:r>
      <w:r>
        <w:rPr>
          <w:rFonts w:cs="Times New Roman"/>
          <w:szCs w:val="24"/>
        </w:rPr>
        <w:t>/current liabilities =12,519/15,01</w:t>
      </w:r>
      <w:r>
        <w:rPr>
          <w:rFonts w:cs="Times New Roman"/>
          <w:szCs w:val="24"/>
        </w:rPr>
        <w:t>4 = 0.83</w:t>
      </w:r>
    </w:p>
    <w:p>
      <w:pPr>
        <w:pStyle w:val="style0"/>
        <w:spacing w:lineRule="auto" w:line="480"/>
        <w:rPr>
          <w:rFonts w:cs="Times New Roman"/>
          <w:szCs w:val="24"/>
        </w:rPr>
      </w:pPr>
      <w:r>
        <w:rPr>
          <w:rFonts w:cs="Times New Roman"/>
          <w:szCs w:val="24"/>
        </w:rPr>
        <w:t xml:space="preserve">Quick acid test </w:t>
      </w:r>
    </w:p>
    <w:p>
      <w:pPr>
        <w:pStyle w:val="style0"/>
        <w:spacing w:lineRule="auto" w:line="480"/>
        <w:rPr>
          <w:rFonts w:cs="Times New Roman"/>
          <w:szCs w:val="24"/>
        </w:rPr>
      </w:pPr>
      <w:r>
        <w:rPr>
          <w:rFonts w:cs="Times New Roman"/>
          <w:szCs w:val="24"/>
        </w:rPr>
        <w:t>Current asset - invento</w:t>
      </w:r>
      <w:r>
        <w:rPr>
          <w:rFonts w:cs="Times New Roman"/>
          <w:szCs w:val="24"/>
        </w:rPr>
        <w:t>ry/current liabilities= 12,519-9427/15014 =0.21</w:t>
      </w:r>
    </w:p>
    <w:p>
      <w:pPr>
        <w:pStyle w:val="style0"/>
        <w:spacing w:lineRule="auto" w:line="480"/>
        <w:rPr>
          <w:rFonts w:cs="Times New Roman"/>
          <w:szCs w:val="24"/>
        </w:rPr>
      </w:pPr>
      <w:r>
        <w:rPr>
          <w:rFonts w:cs="Times New Roman"/>
          <w:szCs w:val="24"/>
        </w:rPr>
        <w:t>The year 2020</w:t>
      </w:r>
    </w:p>
    <w:p>
      <w:pPr>
        <w:pStyle w:val="style0"/>
        <w:spacing w:lineRule="auto" w:line="480"/>
        <w:rPr>
          <w:rFonts w:cs="Times New Roman"/>
          <w:szCs w:val="24"/>
        </w:rPr>
      </w:pPr>
      <w:r>
        <w:rPr>
          <w:rFonts w:cs="Times New Roman"/>
          <w:szCs w:val="24"/>
        </w:rPr>
        <w:t xml:space="preserve">Current ratio </w:t>
      </w:r>
    </w:p>
    <w:p>
      <w:pPr>
        <w:pStyle w:val="style0"/>
        <w:spacing w:lineRule="auto" w:line="480"/>
        <w:rPr>
          <w:rFonts w:cs="Times New Roman"/>
          <w:szCs w:val="24"/>
        </w:rPr>
      </w:pPr>
      <w:r>
        <w:rPr>
          <w:rFonts w:cs="Times New Roman"/>
          <w:szCs w:val="24"/>
        </w:rPr>
        <w:t>Current asse</w:t>
      </w:r>
      <w:r>
        <w:rPr>
          <w:rFonts w:cs="Times New Roman"/>
          <w:szCs w:val="24"/>
        </w:rPr>
        <w:t>t/current liabilities = 12,902/14,487 = 0.89</w:t>
      </w:r>
    </w:p>
    <w:p>
      <w:pPr>
        <w:pStyle w:val="style0"/>
        <w:spacing w:lineRule="auto" w:line="480"/>
        <w:rPr>
          <w:rFonts w:cs="Times New Roman"/>
          <w:szCs w:val="24"/>
        </w:rPr>
      </w:pPr>
      <w:r>
        <w:rPr>
          <w:rFonts w:cs="Times New Roman"/>
          <w:szCs w:val="24"/>
        </w:rPr>
        <w:t>Quick acid test</w:t>
      </w:r>
    </w:p>
    <w:p>
      <w:pPr>
        <w:pStyle w:val="style0"/>
        <w:spacing w:lineRule="auto" w:line="480"/>
        <w:rPr>
          <w:rFonts w:cs="Times New Roman"/>
          <w:szCs w:val="24"/>
        </w:rPr>
      </w:pPr>
      <w:r>
        <w:rPr>
          <w:rFonts w:cs="Times New Roman"/>
          <w:szCs w:val="24"/>
        </w:rPr>
        <w:t>Current asset - invent</w:t>
      </w:r>
      <w:r>
        <w:rPr>
          <w:rFonts w:cs="Times New Roman"/>
          <w:szCs w:val="24"/>
        </w:rPr>
        <w:t>ory/current liabilities= 12,902-8992/14,487 = 0.27</w:t>
      </w:r>
    </w:p>
    <w:p>
      <w:pPr>
        <w:pStyle w:val="style0"/>
        <w:spacing w:lineRule="auto" w:line="480"/>
        <w:rPr>
          <w:rFonts w:cs="Times New Roman"/>
          <w:szCs w:val="24"/>
        </w:rPr>
      </w:pPr>
    </w:p>
    <w:p>
      <w:pPr>
        <w:pStyle w:val="style0"/>
        <w:spacing w:lineRule="auto" w:line="480"/>
        <w:rPr>
          <w:rFonts w:cs="Times New Roman"/>
          <w:szCs w:val="24"/>
        </w:rPr>
      </w:pPr>
    </w:p>
    <w:p>
      <w:pPr>
        <w:pStyle w:val="style0"/>
        <w:spacing w:lineRule="auto" w:line="480"/>
        <w:rPr>
          <w:rFonts w:cs="Times New Roman"/>
          <w:szCs w:val="24"/>
        </w:rPr>
      </w:pPr>
      <w:r>
        <w:rPr>
          <w:rFonts w:cs="Times New Roman"/>
          <w:szCs w:val="24"/>
        </w:rPr>
        <w:t xml:space="preserve">Table </w:t>
      </w:r>
      <w:r>
        <w:rPr>
          <w:rFonts w:cs="Times New Roman"/>
          <w:szCs w:val="24"/>
        </w:rPr>
        <w:t>2</w:t>
      </w:r>
      <w:r>
        <w:rPr>
          <w:rFonts w:cs="Times New Roman"/>
          <w:szCs w:val="24"/>
        </w:rPr>
        <w:t>: Liqui</w:t>
      </w:r>
      <w:r>
        <w:rPr>
          <w:rFonts w:cs="Times New Roman"/>
          <w:szCs w:val="24"/>
        </w:rPr>
        <w:t>dity Ratios of Target Corporation</w:t>
      </w:r>
    </w:p>
    <w:bookmarkStart w:id="0" w:name="OLE_LINK1"/>
    <w:tbl>
      <w:tblPr>
        <w:tblW w:w="0" w:type="auto"/>
        <w:tblLook w:val="04A0" w:firstRow="1" w:lastRow="0" w:firstColumn="1" w:lastColumn="0" w:noHBand="0" w:noVBand="1"/>
      </w:tblPr>
      <w:tblGrid>
        <w:gridCol w:w="1830"/>
        <w:gridCol w:w="1795"/>
        <w:gridCol w:w="1795"/>
        <w:gridCol w:w="1795"/>
      </w:tblGrid>
      <w:tr>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Ratio/Year</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2020</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2019</w:t>
            </w:r>
          </w:p>
        </w:tc>
        <w:tc>
          <w:tcPr>
            <w:tcW w:w="179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2018</w:t>
            </w:r>
          </w:p>
        </w:tc>
      </w:tr>
      <w:tr>
        <w:tblPrEx/>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Current Ratio</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0.89</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0.83</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0.95</w:t>
            </w:r>
          </w:p>
        </w:tc>
      </w:tr>
      <w:tr>
        <w:tblPrEx/>
        <w:trPr/>
        <w:tc>
          <w:tcPr>
            <w:tcW w:w="1830"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Quick Ratio</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0.27</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0.21</w:t>
            </w:r>
          </w:p>
        </w:tc>
        <w:tc>
          <w:tcPr>
            <w:tcW w:w="1795"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0.29</w:t>
            </w:r>
          </w:p>
        </w:tc>
      </w:tr>
      <w:bookmarkEnd w:id="0"/>
    </w:tbl>
    <w:p>
      <w:pPr>
        <w:pStyle w:val="style0"/>
        <w:spacing w:lineRule="auto" w:line="480"/>
        <w:ind w:firstLine="720"/>
        <w:rPr>
          <w:rFonts w:cs="Times New Roman"/>
          <w:szCs w:val="24"/>
        </w:rPr>
      </w:pPr>
      <w:r>
        <w:rPr>
          <w:rFonts w:cs="Times New Roman"/>
          <w:szCs w:val="24"/>
        </w:rPr>
        <w:t xml:space="preserve">The current </w:t>
      </w:r>
      <w:r>
        <w:rPr>
          <w:rFonts w:cs="Times New Roman"/>
          <w:szCs w:val="24"/>
        </w:rPr>
        <w:t>company ra</w:t>
      </w:r>
      <w:r>
        <w:rPr>
          <w:rFonts w:cs="Times New Roman"/>
          <w:szCs w:val="24"/>
        </w:rPr>
        <w:t>tio decreased steadily from 0.95 in 2018 to 0.83 in 2018 and 0.89</w:t>
      </w:r>
      <w:r>
        <w:rPr>
          <w:rFonts w:cs="Times New Roman"/>
          <w:szCs w:val="24"/>
        </w:rPr>
        <w:t xml:space="preserve"> in 2019. The current ratio above 1 shows the business ability to cover short term liabilities. However, this does not show that in 2019, the</w:t>
      </w:r>
      <w:r>
        <w:rPr>
          <w:rFonts w:cs="Times New Roman"/>
          <w:szCs w:val="24"/>
        </w:rPr>
        <w:t xml:space="preserve"> current ratio decreases to 0.83</w:t>
      </w:r>
      <w:r>
        <w:rPr>
          <w:rFonts w:cs="Times New Roman"/>
          <w:szCs w:val="24"/>
        </w:rPr>
        <w:t xml:space="preserve"> due to a decrease in the current rati</w:t>
      </w:r>
      <w:r>
        <w:rPr>
          <w:rFonts w:cs="Times New Roman"/>
          <w:szCs w:val="24"/>
        </w:rPr>
        <w:t>o; also, it shows that the company</w:t>
      </w:r>
      <w:r>
        <w:rPr>
          <w:rFonts w:cs="Times New Roman"/>
          <w:szCs w:val="24"/>
        </w:rPr>
        <w:t xml:space="preserve"> is faced w</w:t>
      </w:r>
      <w:r>
        <w:rPr>
          <w:rFonts w:cs="Times New Roman"/>
          <w:szCs w:val="24"/>
        </w:rPr>
        <w:t xml:space="preserve">ith liquidity issues.  The quick acid </w:t>
      </w:r>
      <w:r>
        <w:rPr>
          <w:rFonts w:cs="Times New Roman"/>
          <w:szCs w:val="24"/>
        </w:rPr>
        <w:t xml:space="preserve">test </w:t>
      </w:r>
      <w:r>
        <w:rPr>
          <w:rFonts w:cs="Times New Roman"/>
          <w:szCs w:val="24"/>
        </w:rPr>
        <w:t>shows the ability to use a firm'</w:t>
      </w:r>
      <w:r>
        <w:rPr>
          <w:rFonts w:cs="Times New Roman"/>
          <w:szCs w:val="24"/>
        </w:rPr>
        <w:t xml:space="preserve">s current assets to pay short debts. The </w:t>
      </w:r>
      <w:r>
        <w:rPr>
          <w:rFonts w:cs="Times New Roman"/>
          <w:szCs w:val="24"/>
        </w:rPr>
        <w:t>ratio shows a decrease from 0.29 in 2018</w:t>
      </w:r>
      <w:r>
        <w:rPr>
          <w:rFonts w:cs="Times New Roman"/>
          <w:szCs w:val="24"/>
        </w:rPr>
        <w:t xml:space="preserve"> to 0.27 in 2020</w:t>
      </w:r>
      <w:r>
        <w:rPr>
          <w:rFonts w:cs="Times New Roman"/>
          <w:szCs w:val="24"/>
        </w:rPr>
        <w:t>.</w:t>
      </w:r>
    </w:p>
    <w:p>
      <w:pPr>
        <w:pStyle w:val="style0"/>
        <w:spacing w:lineRule="auto" w:line="480"/>
        <w:rPr>
          <w:rFonts w:cs="Times New Roman"/>
          <w:szCs w:val="24"/>
        </w:rPr>
      </w:pPr>
      <w:r>
        <w:rPr>
          <w:rFonts w:cs="Times New Roman"/>
          <w:szCs w:val="24"/>
        </w:rPr>
        <w:t xml:space="preserve">Activity Ratio of Coca-Cola Company </w:t>
      </w:r>
    </w:p>
    <w:p>
      <w:pPr>
        <w:pStyle w:val="style0"/>
        <w:spacing w:lineRule="auto" w:line="480"/>
        <w:rPr>
          <w:rFonts w:cs="Times New Roman"/>
          <w:szCs w:val="24"/>
        </w:rPr>
      </w:pPr>
      <w:r>
        <w:rPr>
          <w:rFonts w:cs="Times New Roman"/>
          <w:szCs w:val="24"/>
        </w:rPr>
        <w:t>The year 2018</w:t>
      </w:r>
      <w:r>
        <w:rPr>
          <w:rFonts w:cs="Times New Roman"/>
          <w:szCs w:val="24"/>
        </w:rPr>
        <w:t xml:space="preserve"> inventory turnover is calculate</w:t>
      </w:r>
      <w:r>
        <w:rPr>
          <w:rFonts w:cs="Times New Roman"/>
          <w:szCs w:val="24"/>
        </w:rPr>
        <w:t xml:space="preserve">d as the cost of sales /average stock </w:t>
      </w:r>
    </w:p>
    <w:p>
      <w:pPr>
        <w:pStyle w:val="style0"/>
        <w:spacing w:lineRule="auto" w:line="480"/>
        <w:rPr>
          <w:rFonts w:cs="Times New Roman"/>
          <w:szCs w:val="24"/>
        </w:rPr>
      </w:pPr>
      <w:r>
        <w:rPr>
          <w:rFonts w:cs="Times New Roman"/>
          <w:szCs w:val="24"/>
        </w:rPr>
        <w:t>51,125/8,657= 5.9</w:t>
      </w:r>
    </w:p>
    <w:p>
      <w:pPr>
        <w:pStyle w:val="style0"/>
        <w:spacing w:lineRule="auto" w:line="480"/>
        <w:rPr>
          <w:rFonts w:cs="Times New Roman"/>
          <w:szCs w:val="24"/>
        </w:rPr>
      </w:pPr>
      <w:r>
        <w:rPr>
          <w:rFonts w:cs="Times New Roman"/>
          <w:szCs w:val="24"/>
        </w:rPr>
        <w:t xml:space="preserve">The year </w:t>
      </w:r>
      <w:r>
        <w:rPr>
          <w:rFonts w:cs="Times New Roman"/>
          <w:szCs w:val="24"/>
        </w:rPr>
        <w:t>2019</w:t>
      </w:r>
    </w:p>
    <w:p>
      <w:pPr>
        <w:pStyle w:val="style0"/>
        <w:spacing w:lineRule="auto" w:line="480"/>
        <w:rPr>
          <w:rFonts w:cs="Times New Roman"/>
          <w:szCs w:val="24"/>
        </w:rPr>
      </w:pPr>
      <w:r>
        <w:rPr>
          <w:rFonts w:cs="Times New Roman"/>
          <w:szCs w:val="24"/>
        </w:rPr>
        <w:t>53,299/9497=5.6</w:t>
      </w:r>
    </w:p>
    <w:p>
      <w:pPr>
        <w:pStyle w:val="style0"/>
        <w:spacing w:lineRule="auto" w:line="480"/>
        <w:rPr>
          <w:rFonts w:cs="Times New Roman"/>
          <w:szCs w:val="24"/>
        </w:rPr>
      </w:pPr>
      <w:r>
        <w:rPr>
          <w:rFonts w:cs="Times New Roman"/>
          <w:szCs w:val="24"/>
        </w:rPr>
        <w:t xml:space="preserve">The year </w:t>
      </w:r>
      <w:r>
        <w:rPr>
          <w:rFonts w:cs="Times New Roman"/>
          <w:szCs w:val="24"/>
        </w:rPr>
        <w:t>2020</w:t>
      </w:r>
    </w:p>
    <w:p>
      <w:pPr>
        <w:pStyle w:val="style0"/>
        <w:spacing w:lineRule="auto" w:line="480"/>
        <w:rPr>
          <w:rFonts w:cs="Times New Roman"/>
          <w:szCs w:val="24"/>
        </w:rPr>
      </w:pPr>
      <w:r>
        <w:rPr>
          <w:rFonts w:cs="Times New Roman"/>
          <w:szCs w:val="24"/>
        </w:rPr>
        <w:t>54,864/8,992 = 6.1</w:t>
      </w:r>
    </w:p>
    <w:p>
      <w:pPr>
        <w:pStyle w:val="style0"/>
        <w:spacing w:lineRule="auto" w:line="480"/>
        <w:rPr>
          <w:rFonts w:cs="Times New Roman"/>
          <w:szCs w:val="24"/>
        </w:rPr>
      </w:pPr>
      <w:r>
        <w:rPr>
          <w:rFonts w:cs="Times New Roman"/>
          <w:szCs w:val="24"/>
        </w:rPr>
        <w:t>Receivable turn over calculated as debtor /sales *365</w:t>
      </w:r>
    </w:p>
    <w:p>
      <w:pPr>
        <w:pStyle w:val="style0"/>
        <w:spacing w:lineRule="auto" w:line="480"/>
        <w:rPr>
          <w:rFonts w:cs="Times New Roman"/>
          <w:szCs w:val="24"/>
        </w:rPr>
      </w:pPr>
      <w:r>
        <w:rPr>
          <w:rFonts w:cs="Times New Roman"/>
          <w:szCs w:val="24"/>
        </w:rPr>
        <w:t xml:space="preserve">The </w:t>
      </w:r>
      <w:r>
        <w:rPr>
          <w:rFonts w:cs="Times New Roman"/>
          <w:szCs w:val="24"/>
        </w:rPr>
        <w:t xml:space="preserve">Year 2018 </w:t>
      </w:r>
    </w:p>
    <w:p>
      <w:pPr>
        <w:pStyle w:val="style0"/>
        <w:spacing w:lineRule="auto" w:line="480"/>
        <w:rPr>
          <w:rFonts w:cs="Times New Roman"/>
          <w:szCs w:val="24"/>
        </w:rPr>
      </w:pPr>
      <w:r>
        <w:rPr>
          <w:rFonts w:cs="Times New Roman"/>
          <w:szCs w:val="24"/>
        </w:rPr>
        <w:t>416/71,879*365 = 2.11</w:t>
      </w:r>
    </w:p>
    <w:p>
      <w:pPr>
        <w:pStyle w:val="style0"/>
        <w:spacing w:lineRule="auto" w:line="480"/>
        <w:rPr>
          <w:rFonts w:cs="Times New Roman"/>
          <w:szCs w:val="24"/>
        </w:rPr>
      </w:pPr>
    </w:p>
    <w:p>
      <w:pPr>
        <w:pStyle w:val="style0"/>
        <w:spacing w:lineRule="auto" w:line="480"/>
        <w:rPr>
          <w:rFonts w:cs="Times New Roman"/>
          <w:szCs w:val="24"/>
        </w:rPr>
      </w:pPr>
      <w:r>
        <w:rPr>
          <w:rFonts w:cs="Times New Roman"/>
          <w:szCs w:val="24"/>
        </w:rPr>
        <w:t xml:space="preserve">The </w:t>
      </w:r>
      <w:r>
        <w:rPr>
          <w:rFonts w:cs="Times New Roman"/>
          <w:szCs w:val="24"/>
        </w:rPr>
        <w:t>Year 2019</w:t>
      </w:r>
      <w:r>
        <w:rPr>
          <w:rFonts w:cs="Times New Roman"/>
          <w:szCs w:val="24"/>
        </w:rPr>
        <w:t xml:space="preserve"> </w:t>
      </w:r>
    </w:p>
    <w:p>
      <w:pPr>
        <w:pStyle w:val="style0"/>
        <w:spacing w:lineRule="auto" w:line="480"/>
        <w:rPr>
          <w:rFonts w:cs="Times New Roman"/>
          <w:szCs w:val="24"/>
        </w:rPr>
      </w:pPr>
      <w:r>
        <w:rPr>
          <w:rFonts w:cs="Times New Roman"/>
          <w:szCs w:val="24"/>
        </w:rPr>
        <w:t>468/74,433 *365= 2.29</w:t>
      </w:r>
    </w:p>
    <w:p>
      <w:pPr>
        <w:pStyle w:val="style0"/>
        <w:spacing w:lineRule="auto" w:line="480"/>
        <w:rPr>
          <w:rFonts w:cs="Times New Roman"/>
          <w:szCs w:val="24"/>
        </w:rPr>
      </w:pPr>
      <w:r>
        <w:rPr>
          <w:rFonts w:cs="Times New Roman"/>
          <w:szCs w:val="24"/>
        </w:rPr>
        <w:t xml:space="preserve">The </w:t>
      </w:r>
      <w:r>
        <w:rPr>
          <w:rFonts w:cs="Times New Roman"/>
          <w:szCs w:val="24"/>
        </w:rPr>
        <w:t>Year 2020</w:t>
      </w:r>
    </w:p>
    <w:p>
      <w:pPr>
        <w:pStyle w:val="style0"/>
        <w:spacing w:lineRule="auto" w:line="480"/>
        <w:rPr>
          <w:rFonts w:cs="Times New Roman"/>
          <w:szCs w:val="24"/>
        </w:rPr>
      </w:pPr>
      <w:r>
        <w:rPr>
          <w:rFonts w:cs="Times New Roman"/>
          <w:szCs w:val="24"/>
        </w:rPr>
        <w:t>464/77,130*365= 2.19</w:t>
      </w:r>
    </w:p>
    <w:p>
      <w:pPr>
        <w:pStyle w:val="style0"/>
        <w:spacing w:lineRule="auto" w:line="480"/>
        <w:rPr>
          <w:rFonts w:cs="Times New Roman"/>
          <w:szCs w:val="24"/>
        </w:rPr>
      </w:pPr>
      <w:r>
        <w:rPr>
          <w:rFonts w:cs="Times New Roman"/>
          <w:szCs w:val="24"/>
        </w:rPr>
        <w:t>Table 3: A</w:t>
      </w:r>
      <w:r>
        <w:rPr>
          <w:rFonts w:cs="Times New Roman"/>
          <w:szCs w:val="24"/>
        </w:rPr>
        <w:t>ctivity Ratios of Target Corporation</w:t>
      </w:r>
    </w:p>
    <w:bookmarkStart w:id="1" w:name="OLE_LINK2"/>
    <w:tbl>
      <w:tblPr>
        <w:tblW w:w="0" w:type="auto"/>
        <w:tblLook w:val="04A0" w:firstRow="1" w:lastRow="0" w:firstColumn="1" w:lastColumn="0" w:noHBand="0" w:noVBand="1"/>
      </w:tblPr>
      <w:tblGrid>
        <w:gridCol w:w="2435"/>
        <w:gridCol w:w="1642"/>
        <w:gridCol w:w="1643"/>
        <w:gridCol w:w="1642"/>
      </w:tblGrid>
      <w:tr>
        <w:trPr/>
        <w:tc>
          <w:tcPr>
            <w:tcW w:w="243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Ratio/Year</w:t>
            </w:r>
          </w:p>
        </w:tc>
        <w:tc>
          <w:tcPr>
            <w:tcW w:w="1642"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2020</w:t>
            </w:r>
          </w:p>
        </w:tc>
        <w:tc>
          <w:tcPr>
            <w:tcW w:w="1643"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2019</w:t>
            </w:r>
          </w:p>
        </w:tc>
        <w:tc>
          <w:tcPr>
            <w:tcW w:w="1642"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2018</w:t>
            </w:r>
          </w:p>
        </w:tc>
      </w:tr>
      <w:tr>
        <w:tblPrEx/>
        <w:trPr/>
        <w:tc>
          <w:tcPr>
            <w:tcW w:w="243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Inventory Turnover</w:t>
            </w:r>
          </w:p>
        </w:tc>
        <w:tc>
          <w:tcPr>
            <w:tcW w:w="16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6.1</w:t>
            </w:r>
          </w:p>
        </w:tc>
        <w:tc>
          <w:tcPr>
            <w:tcW w:w="1643"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5.</w:t>
            </w:r>
            <w:r>
              <w:rPr>
                <w:rFonts w:cs="Times New Roman"/>
                <w:szCs w:val="24"/>
              </w:rPr>
              <w:t>6</w:t>
            </w:r>
          </w:p>
        </w:tc>
        <w:tc>
          <w:tcPr>
            <w:tcW w:w="16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5.9</w:t>
            </w:r>
          </w:p>
          <w:bookmarkEnd w:id="1"/>
        </w:tc>
      </w:tr>
      <w:tr>
        <w:tblPrEx/>
        <w:trPr/>
        <w:tc>
          <w:tcPr>
            <w:tcW w:w="2435"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Receivable Turnover</w:t>
            </w:r>
          </w:p>
        </w:tc>
        <w:tc>
          <w:tcPr>
            <w:tcW w:w="16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2.19</w:t>
            </w:r>
          </w:p>
        </w:tc>
        <w:tc>
          <w:tcPr>
            <w:tcW w:w="1643"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 xml:space="preserve">      </w:t>
            </w:r>
            <w:r>
              <w:rPr>
                <w:rFonts w:cs="Times New Roman"/>
                <w:szCs w:val="24"/>
              </w:rPr>
              <w:t>2.99</w:t>
            </w:r>
          </w:p>
        </w:tc>
        <w:tc>
          <w:tcPr>
            <w:tcW w:w="16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2.11</w:t>
            </w:r>
          </w:p>
        </w:tc>
      </w:tr>
    </w:tbl>
    <w:p>
      <w:pPr>
        <w:pStyle w:val="style0"/>
        <w:spacing w:lineRule="auto" w:line="480"/>
        <w:ind w:firstLine="720"/>
        <w:rPr>
          <w:rFonts w:cs="Times New Roman"/>
          <w:szCs w:val="24"/>
        </w:rPr>
      </w:pPr>
      <w:r>
        <w:rPr>
          <w:rFonts w:cs="Times New Roman"/>
          <w:szCs w:val="24"/>
        </w:rPr>
        <w:t xml:space="preserve">Target </w:t>
      </w:r>
      <w:r>
        <w:rPr>
          <w:rFonts w:cs="Times New Roman"/>
          <w:szCs w:val="24"/>
        </w:rPr>
        <w:t>inventory turnover de</w:t>
      </w:r>
      <w:r>
        <w:rPr>
          <w:rFonts w:cs="Times New Roman"/>
          <w:szCs w:val="24"/>
        </w:rPr>
        <w:t>creased from 5.9 in 2018 to 5.6 in 2019 and rose slightly to 6.1 in 2020</w:t>
      </w:r>
      <w:r>
        <w:rPr>
          <w:rFonts w:cs="Times New Roman"/>
          <w:szCs w:val="24"/>
        </w:rPr>
        <w:t>. The ca</w:t>
      </w:r>
      <w:r>
        <w:rPr>
          <w:rFonts w:cs="Times New Roman"/>
          <w:szCs w:val="24"/>
        </w:rPr>
        <w:t xml:space="preserve">se indicates that Target's </w:t>
      </w:r>
      <w:r>
        <w:rPr>
          <w:rFonts w:cs="Times New Roman"/>
          <w:szCs w:val="24"/>
        </w:rPr>
        <w:t>shelf life is longer as products take time to expire. Receivable turnover is the period taken to recover debts from customers. The optimum receivable ratio is 10</w:t>
      </w:r>
      <w:r>
        <w:rPr>
          <w:rFonts w:cs="Times New Roman"/>
          <w:szCs w:val="24"/>
        </w:rPr>
        <w:t xml:space="preserve">; we can say that the target corporation is operating at a </w:t>
      </w:r>
      <w:r>
        <w:rPr>
          <w:rFonts w:cs="Times New Roman"/>
          <w:szCs w:val="24"/>
        </w:rPr>
        <w:t>low receivable</w:t>
      </w:r>
      <w:r>
        <w:rPr>
          <w:rFonts w:cs="Times New Roman"/>
          <w:szCs w:val="24"/>
        </w:rPr>
        <w:t xml:space="preserve"> turn</w:t>
      </w:r>
      <w:r>
        <w:rPr>
          <w:rFonts w:cs="Times New Roman"/>
          <w:szCs w:val="24"/>
        </w:rPr>
        <w:t xml:space="preserve">over ratio. </w:t>
      </w:r>
    </w:p>
    <w:p>
      <w:pPr>
        <w:pStyle w:val="style0"/>
        <w:spacing w:lineRule="auto" w:line="480"/>
        <w:rPr>
          <w:rFonts w:cs="Times New Roman"/>
          <w:b/>
          <w:szCs w:val="24"/>
        </w:rPr>
      </w:pPr>
      <w:r>
        <w:rPr>
          <w:rFonts w:cs="Times New Roman"/>
          <w:b/>
          <w:szCs w:val="24"/>
        </w:rPr>
        <w:t>Evaluation of Capital Structure</w:t>
      </w:r>
    </w:p>
    <w:p>
      <w:pPr>
        <w:pStyle w:val="style0"/>
        <w:spacing w:lineRule="auto" w:line="480"/>
        <w:rPr>
          <w:rFonts w:cs="Times New Roman"/>
          <w:szCs w:val="24"/>
        </w:rPr>
      </w:pPr>
      <w:r>
        <w:rPr>
          <w:rFonts w:cs="Times New Roman"/>
          <w:szCs w:val="24"/>
        </w:rPr>
        <w:t>Capital evaluation Measures how much debt or equity a company has employed to fina</w:t>
      </w:r>
      <w:r>
        <w:rPr>
          <w:rFonts w:cs="Times New Roman"/>
          <w:szCs w:val="24"/>
        </w:rPr>
        <w:t>nce its operations</w:t>
      </w:r>
      <w:r>
        <w:rPr>
          <w:rFonts w:cs="Times New Roman"/>
          <w:szCs w:val="24"/>
        </w:rPr>
        <w:t xml:space="preserve">. </w:t>
      </w:r>
    </w:p>
    <w:p>
      <w:pPr>
        <w:pStyle w:val="style0"/>
        <w:spacing w:lineRule="auto" w:line="480"/>
        <w:rPr>
          <w:rFonts w:cs="Times New Roman"/>
          <w:szCs w:val="24"/>
        </w:rPr>
      </w:pPr>
      <w:r>
        <w:rPr>
          <w:rFonts w:cs="Times New Roman"/>
          <w:szCs w:val="24"/>
        </w:rPr>
        <w:t xml:space="preserve">Table 4: </w:t>
      </w:r>
      <w:r>
        <w:rPr>
          <w:rFonts w:cs="Times New Roman"/>
          <w:szCs w:val="24"/>
        </w:rPr>
        <w:t xml:space="preserve">Debt Ratios of Target </w:t>
      </w:r>
      <w:r>
        <w:rPr>
          <w:rFonts w:cs="Times New Roman"/>
          <w:szCs w:val="24"/>
        </w:rPr>
        <w:t>Corporation</w:t>
      </w:r>
    </w:p>
    <w:bookmarkStart w:id="2" w:name="OLE_LINK3"/>
    <w:tbl>
      <w:tblPr>
        <w:tblW w:w="0" w:type="auto"/>
        <w:tblLook w:val="04A0" w:firstRow="1" w:lastRow="0" w:firstColumn="1" w:lastColumn="0" w:noHBand="0" w:noVBand="1"/>
      </w:tblPr>
      <w:tblGrid>
        <w:gridCol w:w="2599"/>
        <w:gridCol w:w="1601"/>
        <w:gridCol w:w="1602"/>
        <w:gridCol w:w="1723"/>
      </w:tblGrid>
      <w:tr>
        <w:trPr>
          <w:trHeight w:val="555" w:hRule="atLeast"/>
        </w:trPr>
        <w:tc>
          <w:tcPr>
            <w:tcW w:w="2599"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Ratio/Year</w:t>
            </w:r>
          </w:p>
        </w:tc>
        <w:tc>
          <w:tcPr>
            <w:tcW w:w="1601"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2020</w:t>
            </w:r>
          </w:p>
        </w:tc>
        <w:tc>
          <w:tcPr>
            <w:tcW w:w="1602"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2019</w:t>
            </w:r>
          </w:p>
        </w:tc>
        <w:tc>
          <w:tcPr>
            <w:tcW w:w="1723"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201</w:t>
            </w:r>
            <w:r>
              <w:rPr>
                <w:rFonts w:cs="Times New Roman"/>
                <w:szCs w:val="24"/>
              </w:rPr>
              <w:t>8</w:t>
            </w:r>
          </w:p>
        </w:tc>
      </w:tr>
      <w:tr>
        <w:tblPrEx/>
        <w:trPr/>
        <w:tc>
          <w:tcPr>
            <w:tcW w:w="2599" w:type="dxa"/>
            <w:tcBorders>
              <w:top w:val="single" w:sz="4" w:space="0" w:color="auto"/>
              <w:left w:val="single" w:sz="4" w:space="0" w:color="auto"/>
              <w:bottom w:val="single" w:sz="4" w:space="0" w:color="auto"/>
              <w:right w:val="single" w:sz="4" w:space="0" w:color="auto"/>
            </w:tcBorders>
            <w:tcFitText w:val="false"/>
          </w:tcPr>
          <w:p>
            <w:pPr>
              <w:pStyle w:val="style0"/>
              <w:spacing w:lineRule="auto" w:line="480"/>
              <w:rPr>
                <w:rFonts w:cs="Times New Roman"/>
                <w:szCs w:val="24"/>
              </w:rPr>
            </w:pPr>
            <w:r>
              <w:rPr>
                <w:rFonts w:cs="Times New Roman"/>
                <w:szCs w:val="24"/>
              </w:rPr>
              <w:t>Debt Ratio</w:t>
            </w:r>
          </w:p>
        </w:tc>
        <w:tc>
          <w:tcPr>
            <w:tcW w:w="1601"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97</w:t>
            </w:r>
            <w:r>
              <w:rPr>
                <w:rFonts w:cs="Times New Roman"/>
                <w:szCs w:val="24"/>
              </w:rPr>
              <w:t>%</w:t>
            </w:r>
          </w:p>
        </w:tc>
        <w:tc>
          <w:tcPr>
            <w:tcW w:w="160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100%</w:t>
            </w:r>
          </w:p>
        </w:tc>
        <w:tc>
          <w:tcPr>
            <w:tcW w:w="1723"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lineRule="auto" w:line="480"/>
              <w:rPr>
                <w:rFonts w:cs="Times New Roman"/>
                <w:szCs w:val="24"/>
              </w:rPr>
            </w:pPr>
            <w:r>
              <w:rPr>
                <w:rFonts w:cs="Times New Roman"/>
                <w:szCs w:val="24"/>
              </w:rPr>
              <w:t>99%</w:t>
            </w:r>
          </w:p>
        </w:tc>
      </w:tr>
      <w:bookmarkEnd w:id="2"/>
    </w:tbl>
    <w:p>
      <w:pPr>
        <w:pStyle w:val="style0"/>
        <w:spacing w:lineRule="auto" w:line="480"/>
        <w:rPr>
          <w:rFonts w:cs="Times New Roman"/>
          <w:szCs w:val="24"/>
        </w:rPr>
      </w:pPr>
      <w:r>
        <w:rPr>
          <w:rFonts w:cs="Times New Roman"/>
          <w:szCs w:val="24"/>
        </w:rPr>
        <w:t xml:space="preserve">The debt to equity ratio is calculated using the total debt divided by shareholder's equity. </w:t>
      </w:r>
      <w:r>
        <w:rPr>
          <w:rFonts w:cs="Times New Roman"/>
          <w:szCs w:val="24"/>
        </w:rPr>
        <w:t xml:space="preserve">The </w:t>
      </w:r>
      <w:r>
        <w:rPr>
          <w:rFonts w:cs="Times New Roman"/>
          <w:szCs w:val="24"/>
        </w:rPr>
        <w:t xml:space="preserve">company </w:t>
      </w:r>
      <w:r>
        <w:rPr>
          <w:rFonts w:cs="Times New Roman"/>
          <w:szCs w:val="24"/>
        </w:rPr>
        <w:t xml:space="preserve">shows that the company dependency on debt </w:t>
      </w:r>
      <w:r>
        <w:rPr>
          <w:rFonts w:cs="Times New Roman"/>
          <w:szCs w:val="24"/>
        </w:rPr>
        <w:t xml:space="preserve">capital is has </w:t>
      </w:r>
      <w:r>
        <w:rPr>
          <w:rFonts w:cs="Times New Roman"/>
          <w:szCs w:val="24"/>
        </w:rPr>
        <w:t>decreased</w:t>
      </w:r>
      <w:r>
        <w:rPr>
          <w:rFonts w:cs="Times New Roman"/>
          <w:szCs w:val="24"/>
        </w:rPr>
        <w:t xml:space="preserve"> </w:t>
      </w:r>
      <w:r>
        <w:rPr>
          <w:rFonts w:cs="Times New Roman"/>
          <w:szCs w:val="24"/>
        </w:rPr>
        <w:t>high.</w:t>
      </w:r>
    </w:p>
    <w:p>
      <w:pPr>
        <w:pStyle w:val="style0"/>
        <w:spacing w:lineRule="auto" w:line="480"/>
        <w:rPr>
          <w:rFonts w:cs="Times New Roman"/>
          <w:szCs w:val="24"/>
        </w:rPr>
      </w:pPr>
      <w:r>
        <w:rPr>
          <w:rFonts w:cs="Times New Roman"/>
          <w:szCs w:val="24"/>
        </w:rPr>
        <w:t xml:space="preserve">The equity ratio is calculated using shareowners capital employed /equity capital or 1-debt ratio </w:t>
      </w:r>
    </w:p>
    <w:p>
      <w:pPr>
        <w:pStyle w:val="style0"/>
        <w:spacing w:lineRule="auto" w:line="480"/>
        <w:rPr>
          <w:rFonts w:cs="Times New Roman"/>
          <w:szCs w:val="24"/>
        </w:rPr>
      </w:pPr>
      <w:r>
        <w:rPr>
          <w:rFonts w:cs="Times New Roman"/>
          <w:szCs w:val="24"/>
        </w:rPr>
        <w:t>The year 2018</w:t>
      </w:r>
    </w:p>
    <w:p>
      <w:pPr>
        <w:pStyle w:val="style0"/>
        <w:spacing w:lineRule="auto" w:line="480"/>
        <w:rPr>
          <w:rFonts w:cs="Times New Roman"/>
          <w:szCs w:val="24"/>
        </w:rPr>
      </w:pPr>
      <w:r>
        <w:rPr>
          <w:rFonts w:cs="Times New Roman"/>
          <w:szCs w:val="24"/>
        </w:rPr>
        <w:t>1-0.99</w:t>
      </w:r>
      <w:r>
        <w:rPr>
          <w:rFonts w:cs="Times New Roman"/>
          <w:szCs w:val="24"/>
        </w:rPr>
        <w:t xml:space="preserve"> = </w:t>
      </w:r>
      <w:r>
        <w:rPr>
          <w:rFonts w:cs="Times New Roman"/>
          <w:szCs w:val="24"/>
        </w:rPr>
        <w:t>0.01</w:t>
      </w:r>
      <w:r>
        <w:rPr>
          <w:rFonts w:cs="Times New Roman"/>
          <w:szCs w:val="24"/>
        </w:rPr>
        <w:t xml:space="preserve">*100 </w:t>
      </w:r>
    </w:p>
    <w:p>
      <w:pPr>
        <w:pStyle w:val="style0"/>
        <w:spacing w:lineRule="auto" w:line="480"/>
        <w:rPr>
          <w:rFonts w:cs="Times New Roman"/>
          <w:szCs w:val="24"/>
        </w:rPr>
      </w:pPr>
      <w:r>
        <w:rPr>
          <w:rFonts w:cs="Times New Roman"/>
          <w:szCs w:val="24"/>
        </w:rPr>
        <w:t>1</w:t>
      </w:r>
      <w:r>
        <w:rPr>
          <w:rFonts w:cs="Times New Roman"/>
          <w:szCs w:val="24"/>
        </w:rPr>
        <w:t>%</w:t>
      </w:r>
    </w:p>
    <w:p>
      <w:pPr>
        <w:pStyle w:val="style0"/>
        <w:spacing w:lineRule="auto" w:line="480"/>
        <w:rPr>
          <w:rFonts w:cs="Times New Roman"/>
          <w:szCs w:val="24"/>
        </w:rPr>
      </w:pPr>
      <w:r>
        <w:rPr>
          <w:rFonts w:cs="Times New Roman"/>
          <w:szCs w:val="24"/>
        </w:rPr>
        <w:t>In the year 2019, there is 0 equity capital</w:t>
      </w:r>
    </w:p>
    <w:p>
      <w:pPr>
        <w:pStyle w:val="style0"/>
        <w:spacing w:lineRule="auto" w:line="480"/>
        <w:rPr>
          <w:rFonts w:cs="Times New Roman"/>
          <w:szCs w:val="24"/>
        </w:rPr>
      </w:pPr>
      <w:r>
        <w:rPr>
          <w:rFonts w:cs="Times New Roman"/>
          <w:szCs w:val="24"/>
        </w:rPr>
        <w:t>The year 2020</w:t>
      </w:r>
      <w:r>
        <w:rPr>
          <w:rFonts w:cs="Times New Roman"/>
          <w:szCs w:val="24"/>
        </w:rPr>
        <w:t xml:space="preserve"> </w:t>
      </w:r>
    </w:p>
    <w:p>
      <w:pPr>
        <w:pStyle w:val="style0"/>
        <w:spacing w:lineRule="auto" w:line="480"/>
        <w:rPr>
          <w:rFonts w:cs="Times New Roman"/>
          <w:szCs w:val="24"/>
        </w:rPr>
      </w:pPr>
      <w:r>
        <w:rPr>
          <w:rFonts w:cs="Times New Roman"/>
          <w:szCs w:val="24"/>
        </w:rPr>
        <w:t>1 - 0.97 =0.03</w:t>
      </w:r>
      <w:r>
        <w:rPr>
          <w:rFonts w:cs="Times New Roman"/>
          <w:szCs w:val="24"/>
        </w:rPr>
        <w:t xml:space="preserve"> *100</w:t>
      </w:r>
    </w:p>
    <w:p>
      <w:pPr>
        <w:pStyle w:val="style0"/>
        <w:spacing w:lineRule="auto" w:line="480"/>
        <w:rPr>
          <w:rFonts w:cs="Times New Roman"/>
          <w:szCs w:val="24"/>
        </w:rPr>
      </w:pPr>
      <w:r>
        <w:rPr>
          <w:rFonts w:cs="Times New Roman"/>
          <w:szCs w:val="24"/>
        </w:rPr>
        <w:t>3</w:t>
      </w:r>
      <w:r>
        <w:rPr>
          <w:rFonts w:cs="Times New Roman"/>
          <w:szCs w:val="24"/>
        </w:rPr>
        <w:t>%</w:t>
      </w:r>
    </w:p>
    <w:p>
      <w:pPr>
        <w:pStyle w:val="style0"/>
        <w:spacing w:lineRule="auto" w:line="480"/>
        <w:rPr>
          <w:rFonts w:cs="Times New Roman"/>
          <w:szCs w:val="24"/>
        </w:rPr>
      </w:pPr>
      <w:r>
        <w:rPr>
          <w:rFonts w:cs="Times New Roman"/>
          <w:szCs w:val="24"/>
        </w:rPr>
        <w:t>The company equity ra</w:t>
      </w:r>
      <w:r>
        <w:rPr>
          <w:rFonts w:cs="Times New Roman"/>
          <w:szCs w:val="24"/>
        </w:rPr>
        <w:t>tio is less than 50%</w:t>
      </w:r>
      <w:r>
        <w:rPr>
          <w:rFonts w:cs="Times New Roman"/>
          <w:szCs w:val="24"/>
        </w:rPr>
        <w:t>, therefore regarded as highly lev</w:t>
      </w:r>
      <w:r>
        <w:rPr>
          <w:rFonts w:cs="Times New Roman"/>
          <w:szCs w:val="24"/>
        </w:rPr>
        <w:t>eraged.</w:t>
      </w:r>
    </w:p>
    <w:p>
      <w:pPr>
        <w:pStyle w:val="style0"/>
        <w:spacing w:lineRule="auto" w:line="480"/>
        <w:rPr>
          <w:rFonts w:cs="Times New Roman"/>
          <w:b/>
          <w:szCs w:val="24"/>
        </w:rPr>
      </w:pPr>
      <w:r>
        <w:rPr>
          <w:rFonts w:cs="Times New Roman"/>
          <w:b/>
          <w:szCs w:val="24"/>
        </w:rPr>
        <w:t xml:space="preserve">Target </w:t>
      </w:r>
      <w:r>
        <w:rPr>
          <w:rFonts w:cs="Times New Roman"/>
          <w:b/>
          <w:szCs w:val="24"/>
        </w:rPr>
        <w:t>Market evaluation</w:t>
      </w:r>
    </w:p>
    <w:p>
      <w:pPr>
        <w:pStyle w:val="style0"/>
        <w:spacing w:lineRule="auto" w:line="480"/>
        <w:ind w:firstLine="720"/>
        <w:rPr>
          <w:rFonts w:cs="Times New Roman"/>
          <w:szCs w:val="24"/>
        </w:rPr>
      </w:pPr>
      <w:r>
        <w:rPr>
          <w:rFonts w:cs="Times New Roman"/>
          <w:szCs w:val="24"/>
        </w:rPr>
        <w:t xml:space="preserve">According to Andreoli </w:t>
      </w:r>
      <w:r>
        <w:rPr>
          <w:rFonts w:cs="Times New Roman"/>
          <w:szCs w:val="24"/>
        </w:rPr>
        <w:t>2018</w:t>
      </w:r>
      <w:r>
        <w:rPr>
          <w:rFonts w:cs="Times New Roman"/>
          <w:szCs w:val="24"/>
        </w:rPr>
        <w:t xml:space="preserve">, </w:t>
      </w:r>
      <w:r>
        <w:rPr>
          <w:rFonts w:cs="Times New Roman"/>
          <w:szCs w:val="24"/>
        </w:rPr>
        <w:t xml:space="preserve">Target </w:t>
      </w:r>
      <w:r>
        <w:rPr>
          <w:rFonts w:cs="Times New Roman"/>
          <w:szCs w:val="24"/>
        </w:rPr>
        <w:t>Corporation</w:t>
      </w:r>
      <w:r>
        <w:rPr>
          <w:rFonts w:cs="Times New Roman"/>
          <w:szCs w:val="24"/>
        </w:rPr>
        <w:t xml:space="preserve"> is the second-largest re</w:t>
      </w:r>
      <w:r>
        <w:rPr>
          <w:rFonts w:cs="Times New Roman"/>
          <w:szCs w:val="24"/>
        </w:rPr>
        <w:t xml:space="preserve">tails, </w:t>
      </w:r>
      <w:r>
        <w:rPr>
          <w:rFonts w:cs="Times New Roman"/>
          <w:szCs w:val="24"/>
        </w:rPr>
        <w:t>with Walmart taking the</w:t>
      </w:r>
      <w:r>
        <w:rPr>
          <w:rFonts w:cs="Times New Roman"/>
          <w:szCs w:val="24"/>
        </w:rPr>
        <w:t xml:space="preserve"> title of the largest marketing retails in the USA. Target Corporation holds around 1822 stores in </w:t>
      </w:r>
      <w:r>
        <w:rPr>
          <w:rFonts w:cs="Times New Roman"/>
          <w:szCs w:val="24"/>
        </w:rPr>
        <w:t>North</w:t>
      </w:r>
      <w:r>
        <w:rPr>
          <w:rFonts w:cs="Times New Roman"/>
          <w:szCs w:val="24"/>
        </w:rPr>
        <w:t xml:space="preserve"> America and 322 stores in Canada.</w:t>
      </w:r>
      <w:r>
        <w:rPr>
          <w:rFonts w:cs="Times New Roman"/>
          <w:szCs w:val="24"/>
        </w:rPr>
        <w:t xml:space="preserve"> </w:t>
      </w:r>
      <w:r>
        <w:rPr>
          <w:rFonts w:cs="Times New Roman"/>
          <w:szCs w:val="24"/>
        </w:rPr>
        <w:t xml:space="preserve">The company appeals to a range of customer segments, including </w:t>
      </w:r>
      <w:r>
        <w:rPr>
          <w:rFonts w:cs="Times New Roman"/>
          <w:szCs w:val="24"/>
        </w:rPr>
        <w:t>women, kids, teens</w:t>
      </w:r>
      <w:r>
        <w:rPr>
          <w:rFonts w:cs="Times New Roman"/>
          <w:szCs w:val="24"/>
        </w:rPr>
        <w:t>,</w:t>
      </w:r>
      <w:r>
        <w:rPr>
          <w:rFonts w:cs="Times New Roman"/>
          <w:szCs w:val="24"/>
        </w:rPr>
        <w:t xml:space="preserve"> </w:t>
      </w:r>
      <w:r>
        <w:rPr>
          <w:rFonts w:cs="Times New Roman"/>
          <w:szCs w:val="24"/>
        </w:rPr>
        <w:t>young singles, and families who live active lifestyles.</w:t>
      </w:r>
      <w:r>
        <w:rPr>
          <w:rFonts w:cs="Times New Roman"/>
          <w:szCs w:val="24"/>
        </w:rPr>
        <w:t xml:space="preserve"> Target market merchandise in five categories consumables and commodities, toys, electronics, entertainment, sporting </w:t>
      </w:r>
      <w:r>
        <w:rPr>
          <w:rFonts w:cs="Times New Roman"/>
          <w:szCs w:val="24"/>
        </w:rPr>
        <w:t>goods, apparel</w:t>
      </w:r>
      <w:r>
        <w:rPr>
          <w:rFonts w:cs="Times New Roman"/>
          <w:szCs w:val="24"/>
        </w:rPr>
        <w:t xml:space="preserve"> and accessories, home furnishing and décor, and food and beverages.</w:t>
      </w:r>
      <w:r>
        <w:rPr>
          <w:rFonts w:cs="Times New Roman"/>
          <w:szCs w:val="24"/>
        </w:rPr>
        <w:t xml:space="preserve"> Target</w:t>
      </w:r>
      <w:r>
        <w:rPr>
          <w:rFonts w:cs="Times New Roman"/>
          <w:szCs w:val="24"/>
        </w:rPr>
        <w:t xml:space="preserve"> focuses on reliability</w:t>
      </w:r>
      <w:r>
        <w:rPr>
          <w:rFonts w:cs="Times New Roman"/>
          <w:szCs w:val="24"/>
        </w:rPr>
        <w:t xml:space="preserve"> </w:t>
      </w:r>
      <w:r>
        <w:rPr>
          <w:rFonts w:cs="Times New Roman"/>
          <w:szCs w:val="24"/>
        </w:rPr>
        <w:t xml:space="preserve">over its products by availing what consumers want at the right </w:t>
      </w:r>
      <w:r>
        <w:rPr>
          <w:rFonts w:cs="Times New Roman"/>
          <w:szCs w:val="24"/>
        </w:rPr>
        <w:t>place. The</w:t>
      </w:r>
      <w:r>
        <w:rPr>
          <w:rFonts w:cs="Times New Roman"/>
          <w:szCs w:val="24"/>
        </w:rPr>
        <w:t xml:space="preserve"> discounted price strategy </w:t>
      </w:r>
      <w:r>
        <w:rPr>
          <w:rFonts w:cs="Times New Roman"/>
          <w:szCs w:val="24"/>
        </w:rPr>
        <w:t xml:space="preserve">has boosted the </w:t>
      </w:r>
      <w:r>
        <w:rPr>
          <w:rFonts w:cs="Times New Roman"/>
          <w:szCs w:val="24"/>
        </w:rPr>
        <w:t>companies</w:t>
      </w:r>
      <w:r>
        <w:rPr>
          <w:rFonts w:cs="Times New Roman"/>
          <w:szCs w:val="24"/>
        </w:rPr>
        <w:t xml:space="preserve">' capacity to reach new guests in different </w:t>
      </w:r>
      <w:r>
        <w:rPr>
          <w:rFonts w:cs="Times New Roman"/>
          <w:szCs w:val="24"/>
        </w:rPr>
        <w:t>avenues</w:t>
      </w:r>
      <w:r>
        <w:rPr>
          <w:rFonts w:cs="Times New Roman"/>
          <w:szCs w:val="24"/>
        </w:rPr>
        <w:t xml:space="preserve"> enabling their guests to find it easy to save 5%on each purchase of the </w:t>
      </w:r>
      <w:r>
        <w:rPr>
          <w:rFonts w:cs="Times New Roman"/>
          <w:szCs w:val="24"/>
        </w:rPr>
        <w:t xml:space="preserve">products </w:t>
      </w:r>
      <w:r>
        <w:rPr>
          <w:rFonts w:cs="Times New Roman"/>
          <w:szCs w:val="24"/>
        </w:rPr>
        <w:t>compared to other stores. Besides, the company focuses on integrating digital capabilities with personalized service to enable a convenient shopping experience that meets their client's active lifestyle needs</w:t>
      </w:r>
      <w:r>
        <w:rPr>
          <w:rFonts w:cs="Times New Roman"/>
          <w:szCs w:val="24"/>
        </w:rPr>
        <w:t>. Finally,</w:t>
      </w:r>
      <w:r>
        <w:rPr>
          <w:rFonts w:cs="Times New Roman"/>
          <w:szCs w:val="24"/>
        </w:rPr>
        <w:t xml:space="preserve"> </w:t>
      </w:r>
      <w:r>
        <w:rPr>
          <w:rFonts w:cs="Times New Roman"/>
          <w:szCs w:val="24"/>
        </w:rPr>
        <w:t>t</w:t>
      </w:r>
      <w:r>
        <w:rPr>
          <w:rFonts w:cs="Times New Roman"/>
          <w:szCs w:val="24"/>
        </w:rPr>
        <w:t>he</w:t>
      </w:r>
      <w:r>
        <w:rPr>
          <w:rFonts w:cs="Times New Roman"/>
          <w:szCs w:val="24"/>
        </w:rPr>
        <w:t xml:space="preserve"> company use</w:t>
      </w:r>
      <w:r>
        <w:rPr>
          <w:rFonts w:cs="Times New Roman"/>
          <w:szCs w:val="24"/>
        </w:rPr>
        <w:t xml:space="preserve">s excellent </w:t>
      </w:r>
      <w:r>
        <w:rPr>
          <w:rFonts w:cs="Times New Roman"/>
          <w:szCs w:val="24"/>
        </w:rPr>
        <w:t xml:space="preserve">ways to promote its products, such as social media, </w:t>
      </w:r>
      <w:r>
        <w:rPr>
          <w:rFonts w:cs="Times New Roman"/>
          <w:szCs w:val="24"/>
        </w:rPr>
        <w:t>Pinterest</w:t>
      </w:r>
      <w:r>
        <w:rPr>
          <w:rFonts w:cs="Times New Roman"/>
          <w:szCs w:val="24"/>
        </w:rPr>
        <w:t xml:space="preserve">, </w:t>
      </w:r>
      <w:r>
        <w:rPr>
          <w:rFonts w:cs="Times New Roman"/>
          <w:szCs w:val="24"/>
        </w:rPr>
        <w:t>Facebook</w:t>
      </w:r>
      <w:r>
        <w:rPr>
          <w:rFonts w:cs="Times New Roman"/>
          <w:szCs w:val="24"/>
        </w:rPr>
        <w:t xml:space="preserve">, </w:t>
      </w:r>
      <w:r>
        <w:rPr>
          <w:rFonts w:cs="Times New Roman"/>
          <w:szCs w:val="24"/>
        </w:rPr>
        <w:t>Twitter</w:t>
      </w:r>
      <w:r>
        <w:rPr>
          <w:rFonts w:cs="Times New Roman"/>
          <w:szCs w:val="24"/>
        </w:rPr>
        <w:t>, and youtube.</w:t>
      </w:r>
    </w:p>
    <w:p>
      <w:pPr>
        <w:pStyle w:val="style0"/>
        <w:jc w:val="center"/>
        <w:rPr>
          <w:rFonts w:cs="Times New Roman"/>
          <w:szCs w:val="24"/>
        </w:rPr>
      </w:pPr>
    </w:p>
    <w:p>
      <w:pPr>
        <w:pStyle w:val="style0"/>
        <w:jc w:val="center"/>
        <w:rPr>
          <w:rFonts w:cs="Times New Roman"/>
          <w:szCs w:val="24"/>
        </w:rPr>
      </w:pPr>
    </w:p>
    <w:p>
      <w:pPr>
        <w:pStyle w:val="style0"/>
        <w:jc w:val="center"/>
        <w:rPr>
          <w:rFonts w:cs="Times New Roman"/>
          <w:szCs w:val="24"/>
        </w:rPr>
      </w:pPr>
    </w:p>
    <w:bookmarkStart w:id="3" w:name="_GoBack"/>
    <w:bookmarkEnd w:id="3"/>
    <w:p>
      <w:pPr>
        <w:pStyle w:val="style0"/>
        <w:spacing w:after="0" w:lineRule="auto" w:line="480"/>
        <w:ind w:left="720" w:hanging="720"/>
        <w:jc w:val="center"/>
        <w:rPr>
          <w:rFonts w:cs="Times New Roman"/>
          <w:b/>
          <w:szCs w:val="24"/>
        </w:rPr>
      </w:pPr>
      <w:r>
        <w:rPr>
          <w:rFonts w:cs="Times New Roman"/>
          <w:b/>
          <w:szCs w:val="24"/>
        </w:rPr>
        <w:t>Reference</w:t>
      </w:r>
    </w:p>
    <w:p>
      <w:pPr>
        <w:pStyle w:val="style0"/>
        <w:spacing w:after="0" w:lineRule="auto" w:line="480"/>
        <w:ind w:left="720" w:hanging="720"/>
        <w:jc w:val="center"/>
        <w:rPr>
          <w:rFonts w:cs="Times New Roman"/>
          <w:b/>
          <w:szCs w:val="24"/>
        </w:rPr>
      </w:pPr>
      <w:r>
        <w:rPr>
          <w:rFonts w:cs="Times New Roman"/>
          <w:szCs w:val="24"/>
        </w:rPr>
        <w:t xml:space="preserve">Alghalith, N. (2018). Targeting IT Opportunities at Target. </w:t>
      </w:r>
      <w:r>
        <w:rPr>
          <w:rFonts w:cs="Times New Roman"/>
          <w:i/>
          <w:iCs/>
          <w:szCs w:val="24"/>
        </w:rPr>
        <w:t>Journal of Strategic Innovation and Sustainability</w:t>
      </w:r>
      <w:r>
        <w:rPr>
          <w:rFonts w:cs="Times New Roman"/>
          <w:szCs w:val="24"/>
        </w:rPr>
        <w:t xml:space="preserve">, </w:t>
      </w:r>
      <w:r>
        <w:rPr>
          <w:rFonts w:cs="Times New Roman"/>
          <w:i/>
          <w:iCs/>
          <w:szCs w:val="24"/>
        </w:rPr>
        <w:t>13</w:t>
      </w:r>
      <w:r>
        <w:rPr>
          <w:rFonts w:cs="Times New Roman"/>
          <w:szCs w:val="24"/>
        </w:rPr>
        <w:t>(4).</w:t>
      </w:r>
    </w:p>
    <w:p>
      <w:pPr>
        <w:pStyle w:val="style0"/>
        <w:spacing w:after="0" w:lineRule="auto" w:line="480"/>
        <w:ind w:left="720" w:hanging="720"/>
        <w:rPr>
          <w:rFonts w:cs="Times New Roman"/>
          <w:szCs w:val="24"/>
        </w:rPr>
      </w:pPr>
      <w:r>
        <w:rPr>
          <w:rFonts w:cs="Times New Roman"/>
          <w:szCs w:val="24"/>
        </w:rPr>
        <w:t>Andreoli, B. (2018). Strategic Analysis of Target Corporation.</w:t>
      </w:r>
    </w:p>
    <w:p>
      <w:pPr>
        <w:pStyle w:val="style0"/>
        <w:spacing w:after="0" w:lineRule="auto" w:line="480"/>
        <w:ind w:left="720" w:hanging="720"/>
        <w:rPr>
          <w:rFonts w:cs="Times New Roman"/>
          <w:szCs w:val="24"/>
        </w:rPr>
      </w:pPr>
      <w:r>
        <w:rPr>
          <w:rFonts w:cs="Times New Roman"/>
          <w:szCs w:val="24"/>
        </w:rPr>
        <w:t xml:space="preserve">AREAS, B. (2018). Financial analysis. </w:t>
      </w:r>
      <w:r>
        <w:rPr>
          <w:rFonts w:cs="Times New Roman"/>
          <w:i/>
          <w:iCs/>
          <w:szCs w:val="24"/>
        </w:rPr>
        <w:t>growth</w:t>
      </w:r>
      <w:r>
        <w:rPr>
          <w:rFonts w:cs="Times New Roman"/>
          <w:szCs w:val="24"/>
        </w:rPr>
        <w:t xml:space="preserve">, </w:t>
      </w:r>
      <w:r>
        <w:rPr>
          <w:rFonts w:cs="Times New Roman"/>
          <w:i/>
          <w:iCs/>
          <w:szCs w:val="24"/>
        </w:rPr>
        <w:t>30</w:t>
      </w:r>
      <w:r>
        <w:rPr>
          <w:rFonts w:cs="Times New Roman"/>
          <w:szCs w:val="24"/>
        </w:rPr>
        <w:t>, 10.</w:t>
      </w:r>
    </w:p>
    <w:p>
      <w:pPr>
        <w:pStyle w:val="style0"/>
        <w:spacing w:after="0" w:lineRule="auto" w:line="480"/>
        <w:ind w:left="720" w:hanging="720"/>
        <w:rPr>
          <w:rFonts w:cs="Times New Roman" w:eastAsia="Times New Roman"/>
          <w:szCs w:val="24"/>
        </w:rPr>
      </w:pPr>
      <w:r>
        <w:rPr>
          <w:rFonts w:cs="Times New Roman" w:eastAsia="Times New Roman"/>
          <w:szCs w:val="24"/>
        </w:rPr>
        <w:t xml:space="preserve">Plachkinova, M., &amp; Maurer, C. (2018). Security breach at target. </w:t>
      </w:r>
      <w:r>
        <w:rPr>
          <w:rFonts w:cs="Times New Roman" w:eastAsia="Times New Roman"/>
          <w:i/>
          <w:iCs/>
          <w:szCs w:val="24"/>
        </w:rPr>
        <w:t>Journal of Information Systems Education</w:t>
      </w:r>
      <w:r>
        <w:rPr>
          <w:rFonts w:cs="Times New Roman" w:eastAsia="Times New Roman"/>
          <w:szCs w:val="24"/>
        </w:rPr>
        <w:t xml:space="preserve">, </w:t>
      </w:r>
      <w:r>
        <w:rPr>
          <w:rFonts w:cs="Times New Roman" w:eastAsia="Times New Roman"/>
          <w:i/>
          <w:iCs/>
          <w:szCs w:val="24"/>
        </w:rPr>
        <w:t>29</w:t>
      </w:r>
      <w:r>
        <w:rPr>
          <w:rFonts w:cs="Times New Roman" w:eastAsia="Times New Roman"/>
          <w:szCs w:val="24"/>
        </w:rPr>
        <w:t>(1), 11-20.</w:t>
      </w:r>
    </w:p>
    <w:p>
      <w:pPr>
        <w:pStyle w:val="style0"/>
        <w:spacing w:after="0" w:lineRule="auto" w:line="480"/>
        <w:ind w:left="720" w:hanging="720"/>
        <w:rPr>
          <w:rFonts w:cs="Times New Roman"/>
          <w:szCs w:val="24"/>
        </w:rPr>
      </w:pPr>
      <w:r>
        <w:rPr>
          <w:rFonts w:cs="Times New Roman"/>
          <w:szCs w:val="24"/>
        </w:rPr>
        <w:t xml:space="preserve">Wilson, R. E. (2017). Target Corporation: Maintaining Relevance in the 21st Century Gaming Market. </w:t>
      </w:r>
      <w:r>
        <w:rPr>
          <w:rFonts w:cs="Times New Roman"/>
          <w:i/>
          <w:iCs/>
          <w:szCs w:val="24"/>
        </w:rPr>
        <w:t>Kellogg School of Management Cases</w:t>
      </w:r>
      <w:r>
        <w:rPr>
          <w:rFonts w:cs="Times New Roman"/>
          <w:szCs w:val="24"/>
        </w:rPr>
        <w:t>.</w:t>
      </w:r>
    </w:p>
    <w:p>
      <w:pPr>
        <w:pStyle w:val="style0"/>
        <w:spacing w:after="0" w:lineRule="auto" w:line="480"/>
        <w:ind w:left="720" w:hanging="720"/>
        <w:rPr>
          <w:rFonts w:cs="Times New Roman"/>
          <w:szCs w:val="24"/>
        </w:rPr>
      </w:pPr>
    </w:p>
    <w:p>
      <w:pPr>
        <w:pStyle w:val="style0"/>
        <w:spacing w:after="0" w:lineRule="auto" w:line="480"/>
        <w:ind w:left="720" w:hanging="720"/>
        <w:rPr>
          <w:rFonts w:cs="Times New Roman"/>
          <w:szCs w:val="24"/>
        </w:rPr>
      </w:pPr>
    </w:p>
    <w:p>
      <w:pPr>
        <w:pStyle w:val="style0"/>
        <w:rPr>
          <w:rFonts w:cs="Times New Roman"/>
          <w:szCs w:val="24"/>
        </w:rPr>
      </w:pPr>
    </w:p>
    <w:p>
      <w:pPr>
        <w:pStyle w:val="style0"/>
        <w:rPr>
          <w:rFonts w:cs="Times New Roman"/>
          <w:szCs w:val="24"/>
        </w:rPr>
      </w:pPr>
    </w:p>
    <w:p>
      <w:pPr>
        <w:pStyle w:val="style0"/>
        <w:rPr>
          <w:rFonts w:cs="Times New Roman"/>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pPr>
    <w:r>
      <w:t>TARGET CORPORATION FINANCIAL ANALYSIS</w:t>
    </w:r>
    <w:r>
      <w:t xml:space="preserve"> </w:t>
    </w:r>
    <w:r>
      <w:tab/>
    </w:r>
    <w:r>
      <w:rPr/>
      <w:fldChar w:fldCharType="begin"/>
    </w:r>
    <w:r>
      <w:instrText xml:space="preserve"> PAGE   \* MERGEFORMAT </w:instrText>
    </w:r>
    <w:r>
      <w:rPr/>
      <w:fldChar w:fldCharType="separate"/>
    </w:r>
    <w:r>
      <w:rPr>
        <w:noProof/>
      </w:rPr>
      <w:t>11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DECE684"/>
    <w:lvl w:ilvl="0" w:tplc="23EC8F68">
      <w:start w:val="1"/>
      <w:numFmt w:val="lowerLetter"/>
      <w:lvlText w:val="%1)"/>
      <w:lvlJc w:val="left"/>
      <w:pPr>
        <w:ind w:left="720" w:hanging="360"/>
      </w:pPr>
      <w:rPr>
        <w:rFonts w:hint="default"/>
      </w:rPr>
    </w:lvl>
    <w:lvl w:ilvl="1" w:tplc="F1F28F6E" w:tentative="1">
      <w:start w:val="1"/>
      <w:numFmt w:val="lowerLetter"/>
      <w:lvlText w:val="%2."/>
      <w:lvlJc w:val="left"/>
      <w:pPr>
        <w:ind w:left="1440" w:hanging="360"/>
      </w:pPr>
    </w:lvl>
    <w:lvl w:ilvl="2" w:tplc="ED1275D0" w:tentative="1">
      <w:start w:val="1"/>
      <w:numFmt w:val="lowerRoman"/>
      <w:lvlText w:val="%3."/>
      <w:lvlJc w:val="right"/>
      <w:pPr>
        <w:ind w:left="2160" w:hanging="180"/>
      </w:pPr>
    </w:lvl>
    <w:lvl w:ilvl="3" w:tplc="09126CDC" w:tentative="1">
      <w:start w:val="1"/>
      <w:numFmt w:val="decimal"/>
      <w:lvlText w:val="%4."/>
      <w:lvlJc w:val="left"/>
      <w:pPr>
        <w:ind w:left="2880" w:hanging="360"/>
      </w:pPr>
    </w:lvl>
    <w:lvl w:ilvl="4" w:tplc="9F8C2FC6" w:tentative="1">
      <w:start w:val="1"/>
      <w:numFmt w:val="lowerLetter"/>
      <w:lvlText w:val="%5."/>
      <w:lvlJc w:val="left"/>
      <w:pPr>
        <w:ind w:left="3600" w:hanging="360"/>
      </w:pPr>
    </w:lvl>
    <w:lvl w:ilvl="5" w:tplc="2C8694FA" w:tentative="1">
      <w:start w:val="1"/>
      <w:numFmt w:val="lowerRoman"/>
      <w:lvlText w:val="%6."/>
      <w:lvlJc w:val="right"/>
      <w:pPr>
        <w:ind w:left="4320" w:hanging="180"/>
      </w:pPr>
    </w:lvl>
    <w:lvl w:ilvl="6" w:tplc="C600644C" w:tentative="1">
      <w:start w:val="1"/>
      <w:numFmt w:val="decimal"/>
      <w:lvlText w:val="%7."/>
      <w:lvlJc w:val="left"/>
      <w:pPr>
        <w:ind w:left="5040" w:hanging="360"/>
      </w:pPr>
    </w:lvl>
    <w:lvl w:ilvl="7" w:tplc="2D5CA942" w:tentative="1">
      <w:start w:val="1"/>
      <w:numFmt w:val="lowerLetter"/>
      <w:lvlText w:val="%8."/>
      <w:lvlJc w:val="left"/>
      <w:pPr>
        <w:ind w:left="5760" w:hanging="360"/>
      </w:pPr>
    </w:lvl>
    <w:lvl w:ilvl="8" w:tplc="FACC0EC0" w:tentative="1">
      <w:start w:val="1"/>
      <w:numFmt w:val="lowerRoman"/>
      <w:lvlText w:val="%9."/>
      <w:lvlJc w:val="right"/>
      <w:pPr>
        <w:ind w:left="6480" w:hanging="180"/>
      </w:pPr>
    </w:lvl>
  </w:abstractNum>
  <w:abstractNum w:abstractNumId="1">
    <w:nsid w:val="00000001"/>
    <w:multiLevelType w:val="hybridMultilevel"/>
    <w:tmpl w:val="A18CE4E0"/>
    <w:lvl w:ilvl="0" w:tplc="628C1736">
      <w:start w:val="1"/>
      <w:numFmt w:val="lowerLetter"/>
      <w:lvlText w:val="%1)"/>
      <w:lvlJc w:val="left"/>
      <w:pPr>
        <w:ind w:left="720" w:hanging="360"/>
      </w:pPr>
      <w:rPr>
        <w:rFonts w:hint="default"/>
      </w:rPr>
    </w:lvl>
    <w:lvl w:ilvl="1" w:tplc="E12CEB40" w:tentative="1">
      <w:start w:val="1"/>
      <w:numFmt w:val="lowerLetter"/>
      <w:lvlText w:val="%2."/>
      <w:lvlJc w:val="left"/>
      <w:pPr>
        <w:ind w:left="1440" w:hanging="360"/>
      </w:pPr>
    </w:lvl>
    <w:lvl w:ilvl="2" w:tplc="852422F6" w:tentative="1">
      <w:start w:val="1"/>
      <w:numFmt w:val="lowerRoman"/>
      <w:lvlText w:val="%3."/>
      <w:lvlJc w:val="right"/>
      <w:pPr>
        <w:ind w:left="2160" w:hanging="180"/>
      </w:pPr>
    </w:lvl>
    <w:lvl w:ilvl="3" w:tplc="B5E2394A" w:tentative="1">
      <w:start w:val="1"/>
      <w:numFmt w:val="decimal"/>
      <w:lvlText w:val="%4."/>
      <w:lvlJc w:val="left"/>
      <w:pPr>
        <w:ind w:left="2880" w:hanging="360"/>
      </w:pPr>
    </w:lvl>
    <w:lvl w:ilvl="4" w:tplc="3A6EE038" w:tentative="1">
      <w:start w:val="1"/>
      <w:numFmt w:val="lowerLetter"/>
      <w:lvlText w:val="%5."/>
      <w:lvlJc w:val="left"/>
      <w:pPr>
        <w:ind w:left="3600" w:hanging="360"/>
      </w:pPr>
    </w:lvl>
    <w:lvl w:ilvl="5" w:tplc="4A18F0CA" w:tentative="1">
      <w:start w:val="1"/>
      <w:numFmt w:val="lowerRoman"/>
      <w:lvlText w:val="%6."/>
      <w:lvlJc w:val="right"/>
      <w:pPr>
        <w:ind w:left="4320" w:hanging="180"/>
      </w:pPr>
    </w:lvl>
    <w:lvl w:ilvl="6" w:tplc="33D03CC6" w:tentative="1">
      <w:start w:val="1"/>
      <w:numFmt w:val="decimal"/>
      <w:lvlText w:val="%7."/>
      <w:lvlJc w:val="left"/>
      <w:pPr>
        <w:ind w:left="5040" w:hanging="360"/>
      </w:pPr>
    </w:lvl>
    <w:lvl w:ilvl="7" w:tplc="E5E081DE" w:tentative="1">
      <w:start w:val="1"/>
      <w:numFmt w:val="lowerLetter"/>
      <w:lvlText w:val="%8."/>
      <w:lvlJc w:val="left"/>
      <w:pPr>
        <w:ind w:left="5760" w:hanging="360"/>
      </w:pPr>
    </w:lvl>
    <w:lvl w:ilvl="8" w:tplc="B64E6E7C" w:tentative="1">
      <w:start w:val="1"/>
      <w:numFmt w:val="lowerRoman"/>
      <w:lvlText w:val="%9."/>
      <w:lvlJc w:val="right"/>
      <w:pPr>
        <w:ind w:left="6480" w:hanging="180"/>
      </w:pPr>
    </w:lvl>
  </w:abstractNum>
  <w:abstractNum w:abstractNumId="2">
    <w:nsid w:val="00000002"/>
    <w:multiLevelType w:val="hybridMultilevel"/>
    <w:tmpl w:val="49AA65B2"/>
    <w:lvl w:ilvl="0" w:tplc="5D4821DC">
      <w:start w:val="1"/>
      <w:numFmt w:val="lowerLetter"/>
      <w:lvlText w:val="%1)"/>
      <w:lvlJc w:val="left"/>
      <w:pPr>
        <w:ind w:left="720" w:hanging="360"/>
      </w:pPr>
      <w:rPr>
        <w:rFonts w:hint="default"/>
      </w:rPr>
    </w:lvl>
    <w:lvl w:ilvl="1" w:tplc="39A4B03E" w:tentative="1">
      <w:start w:val="1"/>
      <w:numFmt w:val="lowerLetter"/>
      <w:lvlText w:val="%2."/>
      <w:lvlJc w:val="left"/>
      <w:pPr>
        <w:ind w:left="1440" w:hanging="360"/>
      </w:pPr>
    </w:lvl>
    <w:lvl w:ilvl="2" w:tplc="C9A8DCCA" w:tentative="1">
      <w:start w:val="1"/>
      <w:numFmt w:val="lowerRoman"/>
      <w:lvlText w:val="%3."/>
      <w:lvlJc w:val="right"/>
      <w:pPr>
        <w:ind w:left="2160" w:hanging="180"/>
      </w:pPr>
    </w:lvl>
    <w:lvl w:ilvl="3" w:tplc="CAE66AE6" w:tentative="1">
      <w:start w:val="1"/>
      <w:numFmt w:val="decimal"/>
      <w:lvlText w:val="%4."/>
      <w:lvlJc w:val="left"/>
      <w:pPr>
        <w:ind w:left="2880" w:hanging="360"/>
      </w:pPr>
    </w:lvl>
    <w:lvl w:ilvl="4" w:tplc="6ABC4E9C" w:tentative="1">
      <w:start w:val="1"/>
      <w:numFmt w:val="lowerLetter"/>
      <w:lvlText w:val="%5."/>
      <w:lvlJc w:val="left"/>
      <w:pPr>
        <w:ind w:left="3600" w:hanging="360"/>
      </w:pPr>
    </w:lvl>
    <w:lvl w:ilvl="5" w:tplc="2FAA0BE0" w:tentative="1">
      <w:start w:val="1"/>
      <w:numFmt w:val="lowerRoman"/>
      <w:lvlText w:val="%6."/>
      <w:lvlJc w:val="right"/>
      <w:pPr>
        <w:ind w:left="4320" w:hanging="180"/>
      </w:pPr>
    </w:lvl>
    <w:lvl w:ilvl="6" w:tplc="E31E90FA" w:tentative="1">
      <w:start w:val="1"/>
      <w:numFmt w:val="decimal"/>
      <w:lvlText w:val="%7."/>
      <w:lvlJc w:val="left"/>
      <w:pPr>
        <w:ind w:left="5040" w:hanging="360"/>
      </w:pPr>
    </w:lvl>
    <w:lvl w:ilvl="7" w:tplc="47249C30" w:tentative="1">
      <w:start w:val="1"/>
      <w:numFmt w:val="lowerLetter"/>
      <w:lvlText w:val="%8."/>
      <w:lvlJc w:val="left"/>
      <w:pPr>
        <w:ind w:left="5760" w:hanging="360"/>
      </w:pPr>
    </w:lvl>
    <w:lvl w:ilvl="8" w:tplc="6F022C1A" w:tentative="1">
      <w:start w:val="1"/>
      <w:numFmt w:val="lowerRoman"/>
      <w:lvlText w:val="%9."/>
      <w:lvlJc w:val="right"/>
      <w:pPr>
        <w:ind w:left="6480" w:hanging="180"/>
      </w:pPr>
    </w:lvl>
  </w:abstractNum>
  <w:abstractNum w:abstractNumId="3">
    <w:nsid w:val="00000003"/>
    <w:multiLevelType w:val="hybridMultilevel"/>
    <w:tmpl w:val="23E42E74"/>
    <w:lvl w:ilvl="0" w:tplc="D7E063F8">
      <w:start w:val="1"/>
      <w:numFmt w:val="lowerLetter"/>
      <w:lvlText w:val="%1)"/>
      <w:lvlJc w:val="left"/>
      <w:pPr>
        <w:ind w:left="720" w:hanging="360"/>
      </w:pPr>
      <w:rPr>
        <w:rFonts w:hint="default"/>
      </w:rPr>
    </w:lvl>
    <w:lvl w:ilvl="1" w:tplc="C082C760" w:tentative="1">
      <w:start w:val="1"/>
      <w:numFmt w:val="lowerLetter"/>
      <w:lvlText w:val="%2."/>
      <w:lvlJc w:val="left"/>
      <w:pPr>
        <w:ind w:left="1440" w:hanging="360"/>
      </w:pPr>
    </w:lvl>
    <w:lvl w:ilvl="2" w:tplc="317AA242" w:tentative="1">
      <w:start w:val="1"/>
      <w:numFmt w:val="lowerRoman"/>
      <w:lvlText w:val="%3."/>
      <w:lvlJc w:val="right"/>
      <w:pPr>
        <w:ind w:left="2160" w:hanging="180"/>
      </w:pPr>
    </w:lvl>
    <w:lvl w:ilvl="3" w:tplc="56B859DE" w:tentative="1">
      <w:start w:val="1"/>
      <w:numFmt w:val="decimal"/>
      <w:lvlText w:val="%4."/>
      <w:lvlJc w:val="left"/>
      <w:pPr>
        <w:ind w:left="2880" w:hanging="360"/>
      </w:pPr>
    </w:lvl>
    <w:lvl w:ilvl="4" w:tplc="FC48142E" w:tentative="1">
      <w:start w:val="1"/>
      <w:numFmt w:val="lowerLetter"/>
      <w:lvlText w:val="%5."/>
      <w:lvlJc w:val="left"/>
      <w:pPr>
        <w:ind w:left="3600" w:hanging="360"/>
      </w:pPr>
    </w:lvl>
    <w:lvl w:ilvl="5" w:tplc="7C1CAAF4" w:tentative="1">
      <w:start w:val="1"/>
      <w:numFmt w:val="lowerRoman"/>
      <w:lvlText w:val="%6."/>
      <w:lvlJc w:val="right"/>
      <w:pPr>
        <w:ind w:left="4320" w:hanging="180"/>
      </w:pPr>
    </w:lvl>
    <w:lvl w:ilvl="6" w:tplc="F42A7838" w:tentative="1">
      <w:start w:val="1"/>
      <w:numFmt w:val="decimal"/>
      <w:lvlText w:val="%7."/>
      <w:lvlJc w:val="left"/>
      <w:pPr>
        <w:ind w:left="5040" w:hanging="360"/>
      </w:pPr>
    </w:lvl>
    <w:lvl w:ilvl="7" w:tplc="5DA85AE2" w:tentative="1">
      <w:start w:val="1"/>
      <w:numFmt w:val="lowerLetter"/>
      <w:lvlText w:val="%8."/>
      <w:lvlJc w:val="left"/>
      <w:pPr>
        <w:ind w:left="5760" w:hanging="360"/>
      </w:pPr>
    </w:lvl>
    <w:lvl w:ilvl="8" w:tplc="1922B16A" w:tentative="1">
      <w:start w:val="1"/>
      <w:numFmt w:val="lowerRoman"/>
      <w:lvlText w:val="%9."/>
      <w:lvlJc w:val="right"/>
      <w:pPr>
        <w:ind w:left="6480" w:hanging="180"/>
      </w:pPr>
    </w:lvl>
  </w:abstractNum>
  <w:abstractNum w:abstractNumId="4">
    <w:nsid w:val="00000004"/>
    <w:multiLevelType w:val="hybridMultilevel"/>
    <w:tmpl w:val="7D08FCC0"/>
    <w:lvl w:ilvl="0" w:tplc="6AF245F2">
      <w:start w:val="1"/>
      <w:numFmt w:val="lowerLetter"/>
      <w:lvlText w:val="%1)"/>
      <w:lvlJc w:val="left"/>
      <w:pPr>
        <w:ind w:left="720" w:hanging="360"/>
      </w:pPr>
      <w:rPr>
        <w:rFonts w:hint="default"/>
      </w:rPr>
    </w:lvl>
    <w:lvl w:ilvl="1" w:tplc="A718B450" w:tentative="1">
      <w:start w:val="1"/>
      <w:numFmt w:val="lowerLetter"/>
      <w:lvlText w:val="%2."/>
      <w:lvlJc w:val="left"/>
      <w:pPr>
        <w:ind w:left="1440" w:hanging="360"/>
      </w:pPr>
    </w:lvl>
    <w:lvl w:ilvl="2" w:tplc="E93A1B3C" w:tentative="1">
      <w:start w:val="1"/>
      <w:numFmt w:val="lowerRoman"/>
      <w:lvlText w:val="%3."/>
      <w:lvlJc w:val="right"/>
      <w:pPr>
        <w:ind w:left="2160" w:hanging="180"/>
      </w:pPr>
    </w:lvl>
    <w:lvl w:ilvl="3" w:tplc="1920682A" w:tentative="1">
      <w:start w:val="1"/>
      <w:numFmt w:val="decimal"/>
      <w:lvlText w:val="%4."/>
      <w:lvlJc w:val="left"/>
      <w:pPr>
        <w:ind w:left="2880" w:hanging="360"/>
      </w:pPr>
    </w:lvl>
    <w:lvl w:ilvl="4" w:tplc="8896420C" w:tentative="1">
      <w:start w:val="1"/>
      <w:numFmt w:val="lowerLetter"/>
      <w:lvlText w:val="%5."/>
      <w:lvlJc w:val="left"/>
      <w:pPr>
        <w:ind w:left="3600" w:hanging="360"/>
      </w:pPr>
    </w:lvl>
    <w:lvl w:ilvl="5" w:tplc="1F00A592" w:tentative="1">
      <w:start w:val="1"/>
      <w:numFmt w:val="lowerRoman"/>
      <w:lvlText w:val="%6."/>
      <w:lvlJc w:val="right"/>
      <w:pPr>
        <w:ind w:left="4320" w:hanging="180"/>
      </w:pPr>
    </w:lvl>
    <w:lvl w:ilvl="6" w:tplc="53DEFB6C" w:tentative="1">
      <w:start w:val="1"/>
      <w:numFmt w:val="decimal"/>
      <w:lvlText w:val="%7."/>
      <w:lvlJc w:val="left"/>
      <w:pPr>
        <w:ind w:left="5040" w:hanging="360"/>
      </w:pPr>
    </w:lvl>
    <w:lvl w:ilvl="7" w:tplc="F5FC8608" w:tentative="1">
      <w:start w:val="1"/>
      <w:numFmt w:val="lowerLetter"/>
      <w:lvlText w:val="%8."/>
      <w:lvlJc w:val="left"/>
      <w:pPr>
        <w:ind w:left="5760" w:hanging="360"/>
      </w:pPr>
    </w:lvl>
    <w:lvl w:ilvl="8" w:tplc="517A29FA" w:tentative="1">
      <w:start w:val="1"/>
      <w:numFmt w:val="lowerRoman"/>
      <w:lvlText w:val="%9."/>
      <w:lvlJc w:val="right"/>
      <w:pPr>
        <w:ind w:left="6480" w:hanging="180"/>
      </w:pPr>
    </w:lvl>
  </w:abstractNum>
  <w:abstractNum w:abstractNumId="5">
    <w:nsid w:val="00000005"/>
    <w:multiLevelType w:val="hybridMultilevel"/>
    <w:tmpl w:val="FCF25392"/>
    <w:lvl w:ilvl="0" w:tplc="44862ADE">
      <w:start w:val="1"/>
      <w:numFmt w:val="lowerLetter"/>
      <w:lvlText w:val="%1)"/>
      <w:lvlJc w:val="left"/>
      <w:pPr>
        <w:ind w:left="1080" w:hanging="360"/>
      </w:pPr>
      <w:rPr>
        <w:rFonts w:hint="default"/>
      </w:rPr>
    </w:lvl>
    <w:lvl w:ilvl="1" w:tplc="E72E7840" w:tentative="1">
      <w:start w:val="1"/>
      <w:numFmt w:val="lowerLetter"/>
      <w:lvlText w:val="%2."/>
      <w:lvlJc w:val="left"/>
      <w:pPr>
        <w:ind w:left="1800" w:hanging="360"/>
      </w:pPr>
    </w:lvl>
    <w:lvl w:ilvl="2" w:tplc="AB00A502" w:tentative="1">
      <w:start w:val="1"/>
      <w:numFmt w:val="lowerRoman"/>
      <w:lvlText w:val="%3."/>
      <w:lvlJc w:val="right"/>
      <w:pPr>
        <w:ind w:left="2520" w:hanging="180"/>
      </w:pPr>
    </w:lvl>
    <w:lvl w:ilvl="3" w:tplc="C5AE46F8" w:tentative="1">
      <w:start w:val="1"/>
      <w:numFmt w:val="decimal"/>
      <w:lvlText w:val="%4."/>
      <w:lvlJc w:val="left"/>
      <w:pPr>
        <w:ind w:left="3240" w:hanging="360"/>
      </w:pPr>
    </w:lvl>
    <w:lvl w:ilvl="4" w:tplc="279E2814" w:tentative="1">
      <w:start w:val="1"/>
      <w:numFmt w:val="lowerLetter"/>
      <w:lvlText w:val="%5."/>
      <w:lvlJc w:val="left"/>
      <w:pPr>
        <w:ind w:left="3960" w:hanging="360"/>
      </w:pPr>
    </w:lvl>
    <w:lvl w:ilvl="5" w:tplc="D3FE7902" w:tentative="1">
      <w:start w:val="1"/>
      <w:numFmt w:val="lowerRoman"/>
      <w:lvlText w:val="%6."/>
      <w:lvlJc w:val="right"/>
      <w:pPr>
        <w:ind w:left="4680" w:hanging="180"/>
      </w:pPr>
    </w:lvl>
    <w:lvl w:ilvl="6" w:tplc="B08A20C8" w:tentative="1">
      <w:start w:val="1"/>
      <w:numFmt w:val="decimal"/>
      <w:lvlText w:val="%7."/>
      <w:lvlJc w:val="left"/>
      <w:pPr>
        <w:ind w:left="5400" w:hanging="360"/>
      </w:pPr>
    </w:lvl>
    <w:lvl w:ilvl="7" w:tplc="ECBCA584" w:tentative="1">
      <w:start w:val="1"/>
      <w:numFmt w:val="lowerLetter"/>
      <w:lvlText w:val="%8."/>
      <w:lvlJc w:val="left"/>
      <w:pPr>
        <w:ind w:left="6120" w:hanging="360"/>
      </w:pPr>
    </w:lvl>
    <w:lvl w:ilvl="8" w:tplc="4986EBAE"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rPr>
      <w:rFonts w:ascii="Times New Roman" w:hAnsi="Times New Roman"/>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rFonts w:ascii="Times New Roman" w:hAnsi="Times New Roman"/>
      <w:sz w:val="24"/>
    </w:rPr>
  </w:style>
  <w:style w:type="table" w:styleId="style154">
    <w:name w:val="Table Grid"/>
    <w:basedOn w:val="style105"/>
    <w:next w:val="style154"/>
    <w:uiPriority w:val="39"/>
    <w:pPr>
      <w:spacing w:after="0" w:lineRule="auto" w:line="240"/>
    </w:pPr>
    <w:rPr>
      <w:rFonts w:ascii="Calibri" w:cs="SimSun"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rFonts w:cs="SimSun" w:eastAsia="Calibri"/>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5bf1d38-a128-4243-a7ff-4080b92a814a"/>
    <w:basedOn w:val="style65"/>
    <w:next w:val="style4097"/>
    <w:link w:val="style31"/>
    <w:uiPriority w:val="99"/>
    <w:rPr>
      <w:rFonts w:ascii="Times New Roman" w:hAnsi="Times New Roman"/>
      <w:sz w:val="24"/>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f9515c4-990a-4d9c-a527-149cf0a28bac"/>
    <w:basedOn w:val="style65"/>
    <w:next w:val="style4098"/>
    <w:link w:val="style32"/>
    <w:uiPriority w:val="99"/>
    <w:rPr>
      <w:rFonts w:ascii="Times New Roman" w:hAnsi="Times New Roman"/>
      <w:sz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Words>1906</Words>
  <Characters>10476</Characters>
  <Application>WPS Office</Application>
  <DocSecurity>0</DocSecurity>
  <Paragraphs>255</Paragraphs>
  <ScaleCrop>false</ScaleCrop>
  <LinksUpToDate>false</LinksUpToDate>
  <CharactersWithSpaces>12230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2020-12-12T18:33:00Z</dcterms:created>
  <dc:creator>USER</dc:creator>
  <lastModifiedBy>CPH1723</lastModifiedBy>
  <dcterms:modified xsi:type="dcterms:W3CDTF">2020-12-12T20:08:17Z</dcterms:modified>
  <revision>4</revision>
</coreProperties>
</file>

<file path=docProps/custom.xml><?xml version="1.0" encoding="utf-8"?>
<Properties xmlns="http://schemas.openxmlformats.org/officeDocument/2006/custom-properties" xmlns:vt="http://schemas.openxmlformats.org/officeDocument/2006/docPropsVTypes"/>
</file>